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Технические требования - Приложение №1 к Документации о закупке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 xml:space="preserve">Технические требования </w:t>
      </w:r>
      <w:r>
        <w:rPr>
          <w:rFonts w:eastAsia="Calibri"/>
          <w:b/>
          <w:szCs w:val="24"/>
        </w:rPr>
        <w:t xml:space="preserve">на выполнение работ</w:t>
      </w:r>
      <w:r>
        <w:rPr>
          <w:rFonts w:eastAsia="Calibri"/>
          <w:b/>
          <w:szCs w:val="24"/>
        </w:rPr>
      </w:r>
      <w:r>
        <w:rPr>
          <w:rFonts w:eastAsia="Calibri"/>
          <w:b/>
          <w:szCs w:val="24"/>
        </w:rPr>
      </w:r>
    </w:p>
    <w:p>
      <w:pPr>
        <w:jc w:val="center"/>
        <w:keepLines/>
        <w:keepNext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</w:r>
      <w:r>
        <w:rPr>
          <w:rFonts w:eastAsia="Calibri"/>
          <w:b/>
          <w:szCs w:val="24"/>
        </w:rPr>
      </w:r>
      <w:r>
        <w:rPr>
          <w:rFonts w:eastAsia="Calibri"/>
          <w:b/>
          <w:szCs w:val="24"/>
        </w:rPr>
      </w:r>
    </w:p>
    <w:p>
      <w:pPr>
        <w:ind w:right="95"/>
        <w:jc w:val="center"/>
        <w:spacing w:before="60" w:after="60"/>
        <w:rPr>
          <w:bCs/>
          <w:i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sz w:val="24"/>
          <w:szCs w:val="24"/>
        </w:rPr>
        <w:t xml:space="preserve">ОКПД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000000"/>
          <w:sz w:val="24"/>
          <w:szCs w:val="24"/>
          <w:highlight w:val="white"/>
        </w:rPr>
        <w:t xml:space="preserve">41.10.10.000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000000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z w:val="24"/>
          <w:szCs w:val="24"/>
        </w:rPr>
        <w:t xml:space="preserve">Выпол</w:t>
      </w:r>
      <w:r>
        <w:rPr>
          <w:rFonts w:ascii="Times New Roman" w:hAnsi="Times New Roman"/>
          <w:b/>
          <w:bCs/>
          <w:i w:val="0"/>
          <w:iCs w:val="0"/>
          <w:sz w:val="24"/>
          <w:szCs w:val="24"/>
        </w:rPr>
        <w:t xml:space="preserve">нение</w:t>
      </w:r>
      <w:r>
        <w:rPr>
          <w:rFonts w:ascii="Times New Roman" w:hAnsi="Times New Roman"/>
          <w:b/>
          <w:bCs/>
          <w:i w:val="0"/>
          <w:iCs w:val="0"/>
          <w:sz w:val="24"/>
          <w:szCs w:val="24"/>
        </w:rPr>
        <w:t xml:space="preserve"> проектных</w:t>
      </w:r>
      <w:r>
        <w:rPr>
          <w:rFonts w:ascii="Times New Roman" w:hAnsi="Times New Roman"/>
          <w:b/>
          <w:bCs/>
          <w:i w:val="0"/>
          <w:iCs w:val="0"/>
          <w:sz w:val="24"/>
          <w:szCs w:val="24"/>
        </w:rPr>
        <w:t xml:space="preserve"> работ по техническому перевооружению оборудования для производства водорода в части замены электролизной установки СЭУ-4М на комплектную модульную установку по выработке газоо</w:t>
      </w:r>
      <w:r>
        <w:rPr>
          <w:rFonts w:ascii="Times New Roman" w:hAnsi="Times New Roman"/>
          <w:b/>
          <w:bCs/>
          <w:i w:val="0"/>
          <w:iCs w:val="0"/>
          <w:sz w:val="24"/>
          <w:szCs w:val="24"/>
        </w:rPr>
        <w:t xml:space="preserve">бразного водорода для нужд СП Артемовская ТЭЦ,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z w:val="24"/>
          <w:szCs w:val="24"/>
        </w:rPr>
        <w:t xml:space="preserve">в рамках инвестицион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z w:val="24"/>
          <w:szCs w:val="24"/>
        </w:rPr>
        <w:t xml:space="preserve">ного проект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z w:val="24"/>
          <w:szCs w:val="24"/>
        </w:rPr>
        <w:t xml:space="preserve">а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z w:val="24"/>
          <w:szCs w:val="24"/>
        </w:rPr>
        <w:t xml:space="preserve">R_505АрТЭЦ-14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z w:val="24"/>
          <w:szCs w:val="24"/>
        </w:rPr>
        <w:t xml:space="preserve">г. Артем</w:t>
      </w:r>
      <w:r>
        <w:rPr>
          <w:bCs/>
          <w:i/>
          <w:sz w:val="22"/>
          <w:szCs w:val="22"/>
        </w:rPr>
      </w:r>
      <w:r>
        <w:rPr>
          <w:bCs/>
          <w:i/>
          <w:sz w:val="22"/>
          <w:szCs w:val="22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  <w:highlight w:val="yellow"/>
        </w:rPr>
      </w:pPr>
      <w:r>
        <w:rPr>
          <w:rFonts w:eastAsia="Calibri"/>
          <w:b/>
          <w:sz w:val="26"/>
          <w:szCs w:val="26"/>
          <w:highlight w:val="yellow"/>
        </w:rPr>
      </w:r>
      <w:r>
        <w:rPr>
          <w:rFonts w:eastAsia="Calibri"/>
          <w:b/>
          <w:sz w:val="26"/>
          <w:szCs w:val="26"/>
          <w:highlight w:val="yellow"/>
        </w:rPr>
      </w:r>
      <w:r>
        <w:rPr>
          <w:rFonts w:eastAsia="Calibri"/>
          <w:b/>
          <w:sz w:val="26"/>
          <w:szCs w:val="26"/>
          <w:highlight w:val="yellow"/>
        </w:rPr>
      </w:r>
    </w:p>
    <w:p>
      <w:pPr>
        <w:jc w:val="center"/>
        <w:keepLines/>
        <w:keepNext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  <w:t xml:space="preserve">Лот №</w:t>
      </w:r>
      <w:r>
        <w:rPr>
          <w:rFonts w:eastAsia="Open Sans"/>
          <w:b/>
          <w:bCs/>
          <w:color w:val="000000" w:themeColor="text1"/>
        </w:rPr>
        <w:t xml:space="preserve">22141012-ТПИР ОБСЛ-2026-ДГК-АрТЭЦ</w:t>
      </w:r>
      <w:r>
        <w:rPr>
          <w:rFonts w:eastAsia="Calibri"/>
          <w:b/>
          <w:bCs/>
          <w:sz w:val="26"/>
          <w:szCs w:val="26"/>
        </w:rPr>
      </w:r>
      <w:r>
        <w:rPr>
          <w:rFonts w:eastAsia="Calibri"/>
          <w:b/>
          <w:bCs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i/>
          <w:szCs w:val="24"/>
        </w:rPr>
      </w:pPr>
      <w:r>
        <w:rPr>
          <w:rFonts w:eastAsia="Calibri"/>
          <w:b/>
          <w:i/>
          <w:szCs w:val="24"/>
        </w:rPr>
      </w:r>
      <w:r>
        <w:rPr>
          <w:rFonts w:eastAsia="Calibri"/>
          <w:b/>
          <w:i/>
          <w:szCs w:val="24"/>
        </w:rPr>
      </w:r>
      <w:r>
        <w:rPr>
          <w:rFonts w:eastAsia="Calibri"/>
          <w:b/>
          <w:i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rFonts w:eastAsiaTheme="minorEastAsia"/>
          <w:b/>
          <w:bCs/>
          <w:iCs/>
          <w:sz w:val="24"/>
          <w:szCs w:val="24"/>
        </w:rPr>
      </w:pPr>
      <w:r>
        <w:rPr>
          <w:b/>
          <w:sz w:val="24"/>
          <w:szCs w:val="24"/>
        </w:rPr>
        <w:t xml:space="preserve">СОДЕРЖАНИЕ</w:t>
      </w:r>
      <w:r>
        <w:rPr>
          <w:rFonts w:eastAsiaTheme="minorEastAsia"/>
          <w:b/>
          <w:bCs/>
          <w:iCs/>
          <w:sz w:val="24"/>
          <w:szCs w:val="24"/>
        </w:rPr>
      </w:r>
      <w:r>
        <w:rPr>
          <w:rFonts w:eastAsiaTheme="minorEastAsia"/>
          <w:b/>
          <w:bCs/>
          <w:iCs/>
          <w:sz w:val="24"/>
          <w:szCs w:val="24"/>
        </w:rPr>
      </w:r>
    </w:p>
    <w:p>
      <w:pPr>
        <w:spacing w:before="120" w:line="360" w:lineRule="auto"/>
        <w:tabs>
          <w:tab w:val="left" w:pos="560" w:leader="none"/>
          <w:tab w:val="left" w:pos="9214" w:leader="none"/>
          <w:tab w:val="right" w:pos="9911" w:leader="dot"/>
        </w:tabs>
        <w:rPr>
          <w:rFonts w:eastAsiaTheme="minorEastAsia"/>
          <w:b/>
          <w:bCs/>
          <w:iCs/>
          <w:sz w:val="22"/>
          <w:szCs w:val="24"/>
        </w:rPr>
      </w:pPr>
      <w:r>
        <w:rPr>
          <w:rFonts w:eastAsiaTheme="minorEastAsia"/>
          <w:b/>
          <w:bCs/>
          <w:iCs/>
          <w:sz w:val="22"/>
          <w:szCs w:val="24"/>
        </w:rPr>
        <w:t xml:space="preserve">1. Общие сведения</w:t>
      </w:r>
      <w:r>
        <w:rPr>
          <w:rFonts w:eastAsiaTheme="minorEastAsia"/>
          <w:b/>
          <w:bCs/>
          <w:iCs/>
          <w:sz w:val="22"/>
          <w:szCs w:val="24"/>
        </w:rPr>
        <w:tab/>
        <w:t xml:space="preserve">3</w:t>
      </w:r>
      <w:r>
        <w:rPr>
          <w:rFonts w:eastAsiaTheme="minorEastAsia"/>
          <w:b/>
          <w:bCs/>
          <w:iCs/>
          <w:sz w:val="22"/>
          <w:szCs w:val="24"/>
        </w:rPr>
      </w:r>
      <w:r>
        <w:rPr>
          <w:rFonts w:eastAsiaTheme="minorEastAsia"/>
          <w:b/>
          <w:bCs/>
          <w:iCs/>
          <w:sz w:val="22"/>
          <w:szCs w:val="24"/>
        </w:rPr>
      </w:r>
    </w:p>
    <w:p>
      <w:pPr>
        <w:spacing w:line="360" w:lineRule="auto"/>
        <w:rPr>
          <w:rFonts w:eastAsiaTheme="minorEastAsia"/>
          <w:sz w:val="22"/>
          <w:szCs w:val="24"/>
        </w:rPr>
      </w:pPr>
      <w:r>
        <w:rPr>
          <w:rFonts w:eastAsiaTheme="minorEastAsia"/>
          <w:sz w:val="22"/>
          <w:szCs w:val="24"/>
        </w:rPr>
        <w:t xml:space="preserve">1.</w:t>
      </w:r>
      <w:r>
        <w:rPr>
          <w:rFonts w:eastAsiaTheme="minorEastAsia"/>
          <w:sz w:val="22"/>
          <w:szCs w:val="24"/>
        </w:rPr>
        <w:tab/>
        <w:t xml:space="preserve">Обозначения и сокращения</w:t>
      </w:r>
      <w:r>
        <w:rPr>
          <w:rFonts w:eastAsiaTheme="minorEastAsia"/>
          <w:sz w:val="22"/>
          <w:szCs w:val="24"/>
        </w:rPr>
        <w:tab/>
      </w:r>
      <w:r>
        <w:rPr>
          <w:rFonts w:eastAsiaTheme="minorEastAsia"/>
          <w:sz w:val="22"/>
          <w:szCs w:val="24"/>
        </w:rPr>
        <w:tab/>
      </w:r>
      <w:r>
        <w:rPr>
          <w:rFonts w:eastAsiaTheme="minorEastAsia"/>
          <w:sz w:val="22"/>
          <w:szCs w:val="24"/>
        </w:rPr>
        <w:tab/>
      </w:r>
      <w:r>
        <w:rPr>
          <w:rFonts w:eastAsiaTheme="minorEastAsia"/>
          <w:sz w:val="22"/>
          <w:szCs w:val="24"/>
        </w:rPr>
        <w:tab/>
      </w:r>
      <w:r>
        <w:rPr>
          <w:rFonts w:eastAsiaTheme="minorEastAsia"/>
          <w:sz w:val="22"/>
          <w:szCs w:val="24"/>
        </w:rPr>
        <w:tab/>
      </w:r>
      <w:r>
        <w:rPr>
          <w:rFonts w:eastAsiaTheme="minorEastAsia"/>
          <w:sz w:val="22"/>
          <w:szCs w:val="24"/>
        </w:rPr>
        <w:tab/>
      </w:r>
      <w:r>
        <w:rPr>
          <w:rFonts w:eastAsiaTheme="minorEastAsia"/>
          <w:sz w:val="22"/>
          <w:szCs w:val="24"/>
        </w:rPr>
        <w:tab/>
      </w:r>
      <w:r>
        <w:rPr>
          <w:rFonts w:eastAsiaTheme="minorEastAsia"/>
          <w:sz w:val="22"/>
          <w:szCs w:val="24"/>
        </w:rPr>
        <w:tab/>
      </w:r>
      <w:r>
        <w:rPr>
          <w:rFonts w:eastAsiaTheme="minorEastAsia"/>
          <w:sz w:val="22"/>
          <w:szCs w:val="24"/>
        </w:rPr>
        <w:tab/>
        <w:t xml:space="preserve">3</w:t>
      </w:r>
      <w:r>
        <w:rPr>
          <w:rFonts w:eastAsiaTheme="minorEastAsia"/>
          <w:sz w:val="22"/>
          <w:szCs w:val="24"/>
        </w:rPr>
      </w:r>
      <w:r>
        <w:rPr>
          <w:rFonts w:eastAsiaTheme="minorEastAsia"/>
          <w:sz w:val="22"/>
          <w:szCs w:val="24"/>
        </w:rPr>
      </w:r>
    </w:p>
    <w:p>
      <w:pPr>
        <w:spacing w:line="360" w:lineRule="auto"/>
        <w:rPr>
          <w:rFonts w:eastAsiaTheme="minorEastAsia"/>
          <w:sz w:val="22"/>
          <w:szCs w:val="24"/>
        </w:rPr>
      </w:pPr>
      <w:r>
        <w:rPr>
          <w:rFonts w:eastAsiaTheme="minorEastAsia"/>
          <w:sz w:val="22"/>
          <w:szCs w:val="24"/>
        </w:rPr>
        <w:t xml:space="preserve">1.2</w:t>
      </w:r>
      <w:r>
        <w:rPr>
          <w:rFonts w:eastAsiaTheme="minorEastAsia"/>
          <w:sz w:val="22"/>
          <w:szCs w:val="24"/>
        </w:rPr>
        <w:tab/>
        <w:t xml:space="preserve">Наименование закупаемой продукции</w:t>
      </w:r>
      <w:r>
        <w:rPr>
          <w:rFonts w:eastAsiaTheme="minorEastAsia"/>
          <w:sz w:val="22"/>
          <w:szCs w:val="24"/>
        </w:rPr>
        <w:tab/>
      </w:r>
      <w:r>
        <w:rPr>
          <w:rFonts w:eastAsiaTheme="minorEastAsia"/>
          <w:sz w:val="22"/>
          <w:szCs w:val="24"/>
        </w:rPr>
        <w:tab/>
      </w:r>
      <w:r>
        <w:rPr>
          <w:rFonts w:eastAsiaTheme="minorEastAsia"/>
          <w:sz w:val="22"/>
          <w:szCs w:val="24"/>
        </w:rPr>
        <w:tab/>
      </w:r>
      <w:r>
        <w:rPr>
          <w:rFonts w:eastAsiaTheme="minorEastAsia"/>
          <w:sz w:val="22"/>
          <w:szCs w:val="24"/>
        </w:rPr>
        <w:tab/>
      </w:r>
      <w:r>
        <w:rPr>
          <w:rFonts w:eastAsiaTheme="minorEastAsia"/>
          <w:sz w:val="22"/>
          <w:szCs w:val="24"/>
        </w:rPr>
        <w:tab/>
      </w:r>
      <w:r>
        <w:rPr>
          <w:rFonts w:eastAsiaTheme="minorEastAsia"/>
          <w:sz w:val="22"/>
          <w:szCs w:val="24"/>
        </w:rPr>
        <w:tab/>
      </w:r>
      <w:r>
        <w:rPr>
          <w:rFonts w:eastAsiaTheme="minorEastAsia"/>
          <w:sz w:val="22"/>
          <w:szCs w:val="24"/>
        </w:rPr>
        <w:tab/>
        <w:t xml:space="preserve">3</w:t>
      </w:r>
      <w:r>
        <w:rPr>
          <w:rFonts w:eastAsiaTheme="minorEastAsia"/>
          <w:sz w:val="22"/>
          <w:szCs w:val="24"/>
        </w:rPr>
      </w:r>
      <w:r>
        <w:rPr>
          <w:rFonts w:eastAsiaTheme="minorEastAsia"/>
          <w:sz w:val="22"/>
          <w:szCs w:val="24"/>
        </w:rPr>
      </w:r>
    </w:p>
    <w:p>
      <w:pPr>
        <w:spacing w:line="360" w:lineRule="auto"/>
        <w:rPr>
          <w:rFonts w:eastAsiaTheme="minorEastAsia"/>
          <w:sz w:val="22"/>
          <w:szCs w:val="24"/>
        </w:rPr>
      </w:pPr>
      <w:r>
        <w:rPr>
          <w:rFonts w:eastAsiaTheme="minorEastAsia"/>
          <w:sz w:val="22"/>
          <w:szCs w:val="24"/>
        </w:rPr>
        <w:t xml:space="preserve">1.3</w:t>
      </w:r>
      <w:r>
        <w:rPr>
          <w:rFonts w:eastAsiaTheme="minorEastAsia"/>
          <w:sz w:val="22"/>
          <w:szCs w:val="24"/>
        </w:rPr>
        <w:t xml:space="preserve">       </w:t>
      </w:r>
      <w:r>
        <w:rPr>
          <w:sz w:val="22"/>
          <w:szCs w:val="24"/>
        </w:rPr>
        <w:t xml:space="preserve"> </w:t>
      </w:r>
      <w:r>
        <w:rPr>
          <w:rFonts w:eastAsiaTheme="minorEastAsia"/>
          <w:sz w:val="22"/>
          <w:szCs w:val="24"/>
        </w:rPr>
        <w:t xml:space="preserve">Цель выполнения работ</w:t>
      </w:r>
      <w:r>
        <w:rPr>
          <w:rFonts w:eastAsiaTheme="minorEastAsia"/>
          <w:sz w:val="22"/>
          <w:szCs w:val="24"/>
        </w:rPr>
        <w:tab/>
      </w:r>
      <w:r>
        <w:rPr>
          <w:rFonts w:eastAsiaTheme="minorEastAsia"/>
          <w:sz w:val="22"/>
          <w:szCs w:val="24"/>
        </w:rPr>
        <w:tab/>
      </w:r>
      <w:r>
        <w:rPr>
          <w:rFonts w:eastAsiaTheme="minorEastAsia"/>
          <w:sz w:val="22"/>
          <w:szCs w:val="24"/>
        </w:rPr>
        <w:tab/>
      </w:r>
      <w:r>
        <w:rPr>
          <w:rFonts w:eastAsiaTheme="minorEastAsia"/>
          <w:sz w:val="22"/>
          <w:szCs w:val="24"/>
        </w:rPr>
        <w:tab/>
      </w:r>
      <w:r>
        <w:rPr>
          <w:rFonts w:eastAsiaTheme="minorEastAsia"/>
          <w:sz w:val="22"/>
          <w:szCs w:val="24"/>
        </w:rPr>
        <w:tab/>
      </w:r>
      <w:r>
        <w:rPr>
          <w:rFonts w:eastAsiaTheme="minorEastAsia"/>
          <w:sz w:val="22"/>
          <w:szCs w:val="24"/>
        </w:rPr>
        <w:tab/>
      </w:r>
      <w:r>
        <w:rPr>
          <w:rFonts w:eastAsiaTheme="minorEastAsia"/>
          <w:sz w:val="22"/>
          <w:szCs w:val="24"/>
        </w:rPr>
        <w:tab/>
      </w:r>
      <w:r>
        <w:rPr>
          <w:rFonts w:eastAsiaTheme="minorEastAsia"/>
          <w:sz w:val="22"/>
          <w:szCs w:val="24"/>
        </w:rPr>
        <w:tab/>
      </w:r>
      <w:r>
        <w:rPr>
          <w:rFonts w:eastAsiaTheme="minorEastAsia"/>
          <w:sz w:val="22"/>
          <w:szCs w:val="24"/>
        </w:rPr>
        <w:tab/>
        <w:t xml:space="preserve">3</w:t>
      </w:r>
      <w:r>
        <w:rPr>
          <w:rFonts w:eastAsiaTheme="minorEastAsia"/>
          <w:sz w:val="22"/>
          <w:szCs w:val="24"/>
        </w:rPr>
      </w:r>
      <w:r>
        <w:rPr>
          <w:rFonts w:eastAsiaTheme="minorEastAsia"/>
          <w:sz w:val="22"/>
          <w:szCs w:val="24"/>
        </w:rPr>
      </w:r>
    </w:p>
    <w:p>
      <w:pPr>
        <w:spacing w:line="360" w:lineRule="auto"/>
        <w:rPr>
          <w:rFonts w:eastAsiaTheme="minorEastAsia"/>
          <w:sz w:val="22"/>
          <w:szCs w:val="24"/>
        </w:rPr>
      </w:pPr>
      <w:r>
        <w:rPr>
          <w:rFonts w:eastAsiaTheme="minorEastAsia"/>
          <w:sz w:val="22"/>
          <w:szCs w:val="24"/>
        </w:rPr>
        <w:t xml:space="preserve">1.4</w:t>
      </w:r>
      <w:r>
        <w:rPr>
          <w:rFonts w:eastAsiaTheme="minorEastAsia"/>
          <w:sz w:val="22"/>
          <w:szCs w:val="24"/>
        </w:rPr>
        <w:tab/>
        <w:t xml:space="preserve">Существующее положение</w:t>
      </w:r>
      <w:r>
        <w:rPr>
          <w:rFonts w:eastAsiaTheme="minorEastAsia"/>
          <w:sz w:val="22"/>
          <w:szCs w:val="24"/>
        </w:rPr>
        <w:tab/>
      </w:r>
      <w:r>
        <w:rPr>
          <w:rFonts w:eastAsiaTheme="minorEastAsia"/>
          <w:sz w:val="22"/>
          <w:szCs w:val="24"/>
        </w:rPr>
        <w:tab/>
      </w:r>
      <w:r>
        <w:rPr>
          <w:rFonts w:eastAsiaTheme="minorEastAsia"/>
          <w:sz w:val="22"/>
          <w:szCs w:val="24"/>
        </w:rPr>
        <w:tab/>
      </w:r>
      <w:r>
        <w:rPr>
          <w:rFonts w:eastAsiaTheme="minorEastAsia"/>
          <w:sz w:val="22"/>
          <w:szCs w:val="24"/>
        </w:rPr>
        <w:tab/>
      </w:r>
      <w:r>
        <w:rPr>
          <w:rFonts w:eastAsiaTheme="minorEastAsia"/>
          <w:sz w:val="22"/>
          <w:szCs w:val="24"/>
        </w:rPr>
        <w:tab/>
      </w:r>
      <w:r>
        <w:rPr>
          <w:rFonts w:eastAsiaTheme="minorEastAsia"/>
          <w:sz w:val="22"/>
          <w:szCs w:val="24"/>
        </w:rPr>
        <w:tab/>
      </w:r>
      <w:r>
        <w:rPr>
          <w:rFonts w:eastAsiaTheme="minorEastAsia"/>
          <w:sz w:val="22"/>
          <w:szCs w:val="24"/>
        </w:rPr>
        <w:tab/>
      </w:r>
      <w:r>
        <w:rPr>
          <w:rFonts w:eastAsiaTheme="minorEastAsia"/>
          <w:sz w:val="22"/>
          <w:szCs w:val="24"/>
        </w:rPr>
        <w:tab/>
      </w:r>
      <w:r>
        <w:rPr>
          <w:rFonts w:eastAsiaTheme="minorEastAsia"/>
          <w:sz w:val="22"/>
          <w:szCs w:val="24"/>
        </w:rPr>
        <w:tab/>
        <w:t xml:space="preserve">3</w:t>
      </w:r>
      <w:r>
        <w:rPr>
          <w:rFonts w:eastAsiaTheme="minorEastAsia"/>
          <w:sz w:val="22"/>
          <w:szCs w:val="24"/>
        </w:rPr>
      </w:r>
      <w:r>
        <w:rPr>
          <w:rFonts w:eastAsiaTheme="minorEastAsia"/>
          <w:sz w:val="22"/>
          <w:szCs w:val="24"/>
        </w:rPr>
      </w:r>
    </w:p>
    <w:p>
      <w:pPr>
        <w:spacing w:line="360" w:lineRule="auto"/>
        <w:rPr>
          <w:rFonts w:eastAsiaTheme="minorEastAsia"/>
          <w:b/>
          <w:sz w:val="22"/>
          <w:szCs w:val="24"/>
        </w:rPr>
      </w:pPr>
      <w:r>
        <w:rPr>
          <w:rFonts w:eastAsiaTheme="minorEastAsia"/>
          <w:b/>
          <w:sz w:val="22"/>
          <w:szCs w:val="24"/>
        </w:rPr>
        <w:t xml:space="preserve">Таблица 1</w:t>
      </w:r>
      <w:r>
        <w:rPr>
          <w:rFonts w:eastAsiaTheme="minorEastAsia"/>
          <w:b/>
          <w:sz w:val="22"/>
          <w:szCs w:val="24"/>
        </w:rPr>
        <w:t xml:space="preserve">.</w:t>
      </w:r>
      <w:r>
        <w:rPr>
          <w:rFonts w:eastAsiaTheme="minorEastAsia"/>
          <w:b/>
          <w:sz w:val="22"/>
          <w:szCs w:val="24"/>
        </w:rPr>
        <w:t xml:space="preserve"> </w:t>
      </w:r>
      <w:r>
        <w:rPr>
          <w:rFonts w:eastAsiaTheme="minorEastAsia"/>
          <w:b/>
          <w:sz w:val="22"/>
          <w:szCs w:val="24"/>
        </w:rPr>
        <w:t xml:space="preserve">Перечень объектов заказчика</w:t>
      </w:r>
      <w:r>
        <w:rPr>
          <w:rFonts w:eastAsiaTheme="minorEastAsia"/>
          <w:b/>
          <w:sz w:val="22"/>
          <w:szCs w:val="24"/>
        </w:rPr>
        <w:tab/>
      </w:r>
      <w:r>
        <w:rPr>
          <w:rFonts w:eastAsiaTheme="minorEastAsia"/>
          <w:b/>
          <w:sz w:val="22"/>
          <w:szCs w:val="24"/>
        </w:rPr>
        <w:tab/>
      </w:r>
      <w:r>
        <w:rPr>
          <w:rFonts w:eastAsiaTheme="minorEastAsia"/>
          <w:b/>
          <w:sz w:val="22"/>
          <w:szCs w:val="24"/>
        </w:rPr>
        <w:tab/>
      </w:r>
      <w:r>
        <w:rPr>
          <w:rFonts w:eastAsiaTheme="minorEastAsia"/>
          <w:b/>
          <w:sz w:val="22"/>
          <w:szCs w:val="24"/>
        </w:rPr>
        <w:tab/>
      </w:r>
      <w:r>
        <w:rPr>
          <w:rFonts w:eastAsiaTheme="minorEastAsia"/>
          <w:b/>
          <w:sz w:val="22"/>
          <w:szCs w:val="24"/>
        </w:rPr>
        <w:tab/>
      </w:r>
      <w:r>
        <w:rPr>
          <w:rFonts w:eastAsiaTheme="minorEastAsia"/>
          <w:b/>
          <w:sz w:val="22"/>
          <w:szCs w:val="24"/>
        </w:rPr>
        <w:tab/>
      </w:r>
      <w:r>
        <w:rPr>
          <w:rFonts w:eastAsiaTheme="minorEastAsia"/>
          <w:b/>
          <w:sz w:val="22"/>
          <w:szCs w:val="24"/>
        </w:rPr>
        <w:tab/>
      </w:r>
      <w:r>
        <w:rPr>
          <w:rFonts w:eastAsiaTheme="minorEastAsia"/>
          <w:b/>
          <w:sz w:val="22"/>
          <w:szCs w:val="24"/>
        </w:rPr>
        <w:tab/>
        <w:t xml:space="preserve">3</w:t>
      </w:r>
      <w:r>
        <w:rPr>
          <w:rFonts w:eastAsiaTheme="minorEastAsia"/>
          <w:b/>
          <w:sz w:val="22"/>
          <w:szCs w:val="24"/>
        </w:rPr>
      </w:r>
      <w:r>
        <w:rPr>
          <w:rFonts w:eastAsiaTheme="minorEastAsia"/>
          <w:b/>
          <w:sz w:val="22"/>
          <w:szCs w:val="24"/>
        </w:rPr>
      </w:r>
    </w:p>
    <w:p>
      <w:pPr>
        <w:spacing w:line="360" w:lineRule="auto"/>
        <w:tabs>
          <w:tab w:val="left" w:pos="4253" w:leader="none"/>
        </w:tabs>
        <w:rPr>
          <w:b/>
          <w:sz w:val="22"/>
          <w:szCs w:val="24"/>
        </w:rPr>
      </w:pPr>
      <w:r>
        <w:rPr>
          <w:b/>
          <w:sz w:val="22"/>
          <w:szCs w:val="24"/>
        </w:rPr>
        <w:t xml:space="preserve">2. Требования к продукции</w:t>
      </w:r>
      <w:r>
        <w:rPr>
          <w:b/>
          <w:sz w:val="22"/>
          <w:szCs w:val="24"/>
        </w:rPr>
        <w:tab/>
      </w:r>
      <w:r>
        <w:rPr>
          <w:b/>
          <w:sz w:val="22"/>
          <w:szCs w:val="24"/>
        </w:rPr>
        <w:tab/>
      </w:r>
      <w:r>
        <w:rPr>
          <w:b/>
          <w:sz w:val="22"/>
          <w:szCs w:val="24"/>
        </w:rPr>
        <w:tab/>
      </w:r>
      <w:r>
        <w:rPr>
          <w:b/>
          <w:sz w:val="22"/>
          <w:szCs w:val="24"/>
        </w:rPr>
        <w:tab/>
      </w:r>
      <w:r>
        <w:rPr>
          <w:b/>
          <w:sz w:val="22"/>
          <w:szCs w:val="24"/>
        </w:rPr>
        <w:tab/>
      </w:r>
      <w:r>
        <w:rPr>
          <w:b/>
          <w:sz w:val="22"/>
          <w:szCs w:val="24"/>
        </w:rPr>
        <w:tab/>
      </w:r>
      <w:r>
        <w:rPr>
          <w:b/>
          <w:sz w:val="22"/>
          <w:szCs w:val="24"/>
        </w:rPr>
        <w:tab/>
      </w:r>
      <w:r>
        <w:rPr>
          <w:b/>
          <w:sz w:val="22"/>
          <w:szCs w:val="24"/>
        </w:rPr>
        <w:tab/>
        <w:t xml:space="preserve">4</w:t>
      </w:r>
      <w:r>
        <w:rPr>
          <w:b/>
          <w:sz w:val="22"/>
          <w:szCs w:val="24"/>
        </w:rPr>
      </w:r>
      <w:r>
        <w:rPr>
          <w:b/>
          <w:sz w:val="22"/>
          <w:szCs w:val="24"/>
        </w:rPr>
      </w:r>
    </w:p>
    <w:p>
      <w:pPr>
        <w:spacing w:line="360" w:lineRule="auto"/>
        <w:tabs>
          <w:tab w:val="left" w:pos="709" w:leader="none"/>
        </w:tabs>
        <w:rPr>
          <w:sz w:val="22"/>
          <w:szCs w:val="24"/>
        </w:rPr>
      </w:pPr>
      <w:r>
        <w:rPr>
          <w:sz w:val="22"/>
          <w:szCs w:val="24"/>
        </w:rPr>
        <w:t xml:space="preserve">2.1.</w:t>
      </w:r>
      <w:r>
        <w:rPr>
          <w:sz w:val="22"/>
          <w:szCs w:val="24"/>
        </w:rPr>
        <w:tab/>
        <w:t xml:space="preserve">Требования к объемам и срокам выполнения работ</w:t>
      </w:r>
      <w:r>
        <w:rPr>
          <w:sz w:val="22"/>
          <w:szCs w:val="24"/>
        </w:rPr>
        <w:tab/>
      </w:r>
      <w:r>
        <w:rPr>
          <w:sz w:val="22"/>
          <w:szCs w:val="24"/>
        </w:rPr>
        <w:tab/>
      </w:r>
      <w:r>
        <w:rPr>
          <w:sz w:val="22"/>
          <w:szCs w:val="24"/>
        </w:rPr>
        <w:tab/>
      </w:r>
      <w:r>
        <w:rPr>
          <w:sz w:val="22"/>
          <w:szCs w:val="24"/>
        </w:rPr>
        <w:tab/>
      </w:r>
      <w:r>
        <w:rPr>
          <w:sz w:val="22"/>
          <w:szCs w:val="24"/>
        </w:rPr>
        <w:tab/>
      </w:r>
      <w:r>
        <w:rPr>
          <w:sz w:val="22"/>
          <w:szCs w:val="24"/>
        </w:rPr>
        <w:tab/>
        <w:t xml:space="preserve">4</w:t>
      </w:r>
      <w:r>
        <w:rPr>
          <w:sz w:val="22"/>
          <w:szCs w:val="24"/>
        </w:rPr>
      </w:r>
      <w:r>
        <w:rPr>
          <w:sz w:val="22"/>
          <w:szCs w:val="24"/>
        </w:rPr>
      </w:r>
    </w:p>
    <w:p>
      <w:pPr>
        <w:spacing w:line="360" w:lineRule="auto"/>
        <w:tabs>
          <w:tab w:val="left" w:pos="709" w:leader="none"/>
        </w:tabs>
        <w:rPr>
          <w:sz w:val="22"/>
          <w:szCs w:val="24"/>
        </w:rPr>
      </w:pPr>
      <w:r>
        <w:rPr>
          <w:sz w:val="22"/>
          <w:szCs w:val="24"/>
        </w:rPr>
        <w:t xml:space="preserve">2.1.1.</w:t>
      </w:r>
      <w:r>
        <w:rPr>
          <w:sz w:val="22"/>
          <w:szCs w:val="24"/>
        </w:rPr>
        <w:tab/>
        <w:t xml:space="preserve">Требования к видам и объемам работ</w:t>
      </w:r>
      <w:r>
        <w:rPr>
          <w:sz w:val="22"/>
          <w:szCs w:val="24"/>
        </w:rPr>
        <w:tab/>
      </w:r>
      <w:r>
        <w:rPr>
          <w:sz w:val="22"/>
          <w:szCs w:val="24"/>
        </w:rPr>
        <w:tab/>
      </w:r>
      <w:r>
        <w:rPr>
          <w:sz w:val="22"/>
          <w:szCs w:val="24"/>
        </w:rPr>
        <w:tab/>
      </w:r>
      <w:r>
        <w:rPr>
          <w:sz w:val="22"/>
          <w:szCs w:val="24"/>
        </w:rPr>
        <w:tab/>
      </w:r>
      <w:r>
        <w:rPr>
          <w:sz w:val="22"/>
          <w:szCs w:val="24"/>
        </w:rPr>
        <w:tab/>
      </w:r>
      <w:r>
        <w:rPr>
          <w:sz w:val="22"/>
          <w:szCs w:val="24"/>
        </w:rPr>
        <w:tab/>
      </w:r>
      <w:r>
        <w:rPr>
          <w:sz w:val="22"/>
          <w:szCs w:val="24"/>
        </w:rPr>
        <w:tab/>
      </w:r>
      <w:r>
        <w:rPr>
          <w:sz w:val="22"/>
          <w:szCs w:val="24"/>
        </w:rPr>
        <w:tab/>
        <w:t xml:space="preserve">4</w:t>
      </w:r>
      <w:r>
        <w:rPr>
          <w:sz w:val="22"/>
          <w:szCs w:val="24"/>
        </w:rPr>
      </w:r>
      <w:r>
        <w:rPr>
          <w:sz w:val="22"/>
          <w:szCs w:val="24"/>
        </w:rPr>
      </w:r>
    </w:p>
    <w:p>
      <w:pPr>
        <w:spacing w:line="360" w:lineRule="auto"/>
        <w:tabs>
          <w:tab w:val="left" w:pos="4253" w:leader="none"/>
        </w:tabs>
        <w:rPr>
          <w:b/>
          <w:sz w:val="22"/>
          <w:szCs w:val="24"/>
        </w:rPr>
      </w:pPr>
      <w:r>
        <w:rPr>
          <w:b/>
          <w:sz w:val="22"/>
          <w:szCs w:val="24"/>
        </w:rPr>
        <w:t xml:space="preserve">Таблица 2. Перечень и объем выполняемых работ</w:t>
      </w:r>
      <w:r>
        <w:rPr>
          <w:b/>
          <w:sz w:val="22"/>
          <w:szCs w:val="24"/>
        </w:rPr>
        <w:tab/>
      </w:r>
      <w:r>
        <w:rPr>
          <w:b/>
          <w:sz w:val="22"/>
          <w:szCs w:val="24"/>
        </w:rPr>
        <w:tab/>
      </w:r>
      <w:r>
        <w:rPr>
          <w:b/>
          <w:sz w:val="22"/>
          <w:szCs w:val="24"/>
        </w:rPr>
        <w:tab/>
      </w:r>
      <w:r>
        <w:rPr>
          <w:b/>
          <w:sz w:val="22"/>
          <w:szCs w:val="24"/>
        </w:rPr>
        <w:tab/>
      </w:r>
      <w:r>
        <w:rPr>
          <w:b/>
          <w:sz w:val="22"/>
          <w:szCs w:val="24"/>
        </w:rPr>
        <w:tab/>
      </w:r>
      <w:r>
        <w:rPr>
          <w:b/>
          <w:sz w:val="22"/>
          <w:szCs w:val="24"/>
        </w:rPr>
        <w:tab/>
        <w:t xml:space="preserve">4</w:t>
      </w:r>
      <w:r>
        <w:rPr>
          <w:b/>
          <w:sz w:val="22"/>
          <w:szCs w:val="24"/>
        </w:rPr>
      </w:r>
      <w:r>
        <w:rPr>
          <w:b/>
          <w:sz w:val="22"/>
          <w:szCs w:val="24"/>
        </w:rPr>
      </w:r>
    </w:p>
    <w:p>
      <w:pPr>
        <w:ind w:left="567" w:hanging="567"/>
        <w:spacing w:line="360" w:lineRule="auto"/>
        <w:rPr>
          <w:sz w:val="22"/>
          <w:szCs w:val="24"/>
        </w:rPr>
      </w:pPr>
      <w:r>
        <w:rPr>
          <w:sz w:val="22"/>
          <w:szCs w:val="24"/>
        </w:rPr>
        <w:t xml:space="preserve">2.1.2.</w:t>
      </w:r>
      <w:r>
        <w:rPr>
          <w:sz w:val="22"/>
          <w:szCs w:val="24"/>
        </w:rPr>
        <w:tab/>
      </w:r>
      <w:r>
        <w:rPr>
          <w:sz w:val="22"/>
          <w:szCs w:val="24"/>
        </w:rPr>
        <w:tab/>
        <w:t xml:space="preserve">Требования к срокам выполнения работ</w:t>
      </w:r>
      <w:r>
        <w:rPr>
          <w:sz w:val="22"/>
          <w:szCs w:val="24"/>
        </w:rPr>
        <w:tab/>
      </w:r>
      <w:r>
        <w:rPr>
          <w:sz w:val="22"/>
          <w:szCs w:val="24"/>
        </w:rPr>
        <w:tab/>
      </w:r>
      <w:r>
        <w:rPr>
          <w:sz w:val="22"/>
          <w:szCs w:val="24"/>
        </w:rPr>
        <w:tab/>
      </w:r>
      <w:r>
        <w:rPr>
          <w:sz w:val="22"/>
          <w:szCs w:val="24"/>
        </w:rPr>
        <w:tab/>
      </w:r>
      <w:r>
        <w:rPr>
          <w:sz w:val="22"/>
          <w:szCs w:val="24"/>
        </w:rPr>
        <w:tab/>
      </w:r>
      <w:r>
        <w:rPr>
          <w:sz w:val="22"/>
          <w:szCs w:val="24"/>
        </w:rPr>
        <w:tab/>
      </w:r>
      <w:r>
        <w:rPr>
          <w:sz w:val="22"/>
          <w:szCs w:val="24"/>
        </w:rPr>
        <w:tab/>
        <w:t xml:space="preserve">4</w:t>
      </w:r>
      <w:r>
        <w:rPr>
          <w:sz w:val="22"/>
          <w:szCs w:val="24"/>
        </w:rPr>
      </w:r>
      <w:r>
        <w:rPr>
          <w:sz w:val="22"/>
          <w:szCs w:val="24"/>
        </w:rPr>
      </w:r>
    </w:p>
    <w:p>
      <w:pPr>
        <w:ind w:left="567" w:hanging="567"/>
        <w:spacing w:line="360" w:lineRule="auto"/>
        <w:rPr>
          <w:b/>
          <w:sz w:val="22"/>
          <w:szCs w:val="24"/>
        </w:rPr>
      </w:pPr>
      <w:r>
        <w:rPr>
          <w:b/>
          <w:sz w:val="22"/>
          <w:szCs w:val="24"/>
        </w:rPr>
        <w:t xml:space="preserve">Таблица </w:t>
      </w:r>
      <w:r>
        <w:rPr>
          <w:b/>
          <w:sz w:val="22"/>
          <w:szCs w:val="24"/>
        </w:rPr>
        <w:t xml:space="preserve">3</w:t>
      </w:r>
      <w:r>
        <w:rPr>
          <w:b/>
          <w:sz w:val="22"/>
          <w:szCs w:val="24"/>
        </w:rPr>
        <w:t xml:space="preserve">. Требования по срокам </w:t>
      </w:r>
      <w:r>
        <w:rPr>
          <w:b/>
          <w:sz w:val="22"/>
          <w:szCs w:val="24"/>
        </w:rPr>
        <w:t xml:space="preserve">выполнения работ</w:t>
      </w:r>
      <w:r>
        <w:rPr>
          <w:b/>
          <w:sz w:val="22"/>
          <w:szCs w:val="24"/>
        </w:rPr>
        <w:tab/>
      </w:r>
      <w:r>
        <w:rPr>
          <w:b/>
          <w:sz w:val="22"/>
          <w:szCs w:val="24"/>
        </w:rPr>
        <w:tab/>
      </w:r>
      <w:r>
        <w:rPr>
          <w:b/>
          <w:sz w:val="22"/>
          <w:szCs w:val="24"/>
        </w:rPr>
        <w:tab/>
      </w:r>
      <w:r>
        <w:rPr>
          <w:b/>
          <w:sz w:val="22"/>
          <w:szCs w:val="24"/>
        </w:rPr>
        <w:tab/>
      </w:r>
      <w:r>
        <w:rPr>
          <w:b/>
          <w:sz w:val="22"/>
          <w:szCs w:val="24"/>
        </w:rPr>
        <w:tab/>
      </w:r>
      <w:r>
        <w:rPr>
          <w:b/>
          <w:sz w:val="22"/>
          <w:szCs w:val="24"/>
        </w:rPr>
        <w:tab/>
        <w:t xml:space="preserve">4</w:t>
      </w:r>
      <w:r>
        <w:rPr>
          <w:b/>
          <w:sz w:val="22"/>
          <w:szCs w:val="24"/>
        </w:rPr>
      </w:r>
      <w:r>
        <w:rPr>
          <w:b/>
          <w:sz w:val="22"/>
          <w:szCs w:val="24"/>
        </w:rPr>
      </w:r>
    </w:p>
    <w:p>
      <w:pPr>
        <w:ind w:left="567" w:hanging="567"/>
        <w:spacing w:line="360" w:lineRule="auto"/>
        <w:rPr>
          <w:sz w:val="22"/>
          <w:szCs w:val="24"/>
        </w:rPr>
      </w:pPr>
      <w:r>
        <w:rPr>
          <w:sz w:val="22"/>
          <w:szCs w:val="24"/>
        </w:rPr>
        <w:t xml:space="preserve">2.2</w:t>
      </w:r>
      <w:r>
        <w:rPr>
          <w:sz w:val="22"/>
          <w:szCs w:val="24"/>
        </w:rPr>
        <w:tab/>
        <w:t xml:space="preserve">Требования к качеству работ</w:t>
      </w:r>
      <w:r>
        <w:rPr>
          <w:sz w:val="22"/>
          <w:szCs w:val="24"/>
        </w:rPr>
        <w:tab/>
      </w:r>
      <w:r>
        <w:rPr>
          <w:sz w:val="22"/>
          <w:szCs w:val="24"/>
        </w:rPr>
        <w:tab/>
      </w:r>
      <w:r>
        <w:rPr>
          <w:sz w:val="22"/>
          <w:szCs w:val="24"/>
        </w:rPr>
        <w:tab/>
      </w:r>
      <w:r>
        <w:rPr>
          <w:sz w:val="22"/>
          <w:szCs w:val="24"/>
        </w:rPr>
        <w:tab/>
      </w:r>
      <w:r>
        <w:rPr>
          <w:sz w:val="22"/>
          <w:szCs w:val="24"/>
        </w:rPr>
        <w:tab/>
      </w:r>
      <w:r>
        <w:rPr>
          <w:sz w:val="22"/>
          <w:szCs w:val="24"/>
        </w:rPr>
        <w:tab/>
      </w:r>
      <w:r>
        <w:rPr>
          <w:sz w:val="22"/>
          <w:szCs w:val="24"/>
        </w:rPr>
        <w:tab/>
      </w:r>
      <w:r>
        <w:rPr>
          <w:sz w:val="22"/>
          <w:szCs w:val="24"/>
        </w:rPr>
        <w:tab/>
      </w:r>
      <w:r>
        <w:rPr>
          <w:sz w:val="22"/>
          <w:szCs w:val="24"/>
        </w:rPr>
        <w:tab/>
      </w:r>
      <w:r>
        <w:rPr>
          <w:sz w:val="22"/>
          <w:szCs w:val="24"/>
        </w:rPr>
        <w:t xml:space="preserve">5</w:t>
      </w:r>
      <w:r>
        <w:rPr>
          <w:sz w:val="22"/>
          <w:szCs w:val="24"/>
        </w:rPr>
      </w:r>
      <w:r>
        <w:rPr>
          <w:sz w:val="22"/>
          <w:szCs w:val="24"/>
        </w:rPr>
      </w:r>
    </w:p>
    <w:p>
      <w:pPr>
        <w:spacing w:line="360" w:lineRule="auto"/>
        <w:tabs>
          <w:tab w:val="left" w:pos="4253" w:leader="none"/>
        </w:tabs>
        <w:rPr>
          <w:b/>
          <w:sz w:val="22"/>
          <w:szCs w:val="24"/>
        </w:rPr>
      </w:pPr>
      <w:r>
        <w:rPr>
          <w:b/>
          <w:sz w:val="22"/>
          <w:szCs w:val="24"/>
        </w:rPr>
        <w:t xml:space="preserve">Таблица 4. Требования к качеству работ</w:t>
      </w:r>
      <w:r>
        <w:rPr>
          <w:b/>
          <w:sz w:val="22"/>
          <w:szCs w:val="24"/>
        </w:rPr>
        <w:tab/>
      </w:r>
      <w:r>
        <w:rPr>
          <w:b/>
          <w:sz w:val="22"/>
          <w:szCs w:val="24"/>
        </w:rPr>
        <w:tab/>
      </w:r>
      <w:r>
        <w:rPr>
          <w:b/>
          <w:sz w:val="22"/>
          <w:szCs w:val="24"/>
        </w:rPr>
        <w:tab/>
      </w:r>
      <w:r>
        <w:rPr>
          <w:b/>
          <w:sz w:val="22"/>
          <w:szCs w:val="24"/>
        </w:rPr>
        <w:tab/>
      </w:r>
      <w:r>
        <w:rPr>
          <w:b/>
          <w:sz w:val="22"/>
          <w:szCs w:val="24"/>
        </w:rPr>
        <w:tab/>
      </w:r>
      <w:r>
        <w:rPr>
          <w:b/>
          <w:sz w:val="22"/>
          <w:szCs w:val="24"/>
        </w:rPr>
        <w:tab/>
      </w:r>
      <w:r>
        <w:rPr>
          <w:b/>
          <w:sz w:val="22"/>
          <w:szCs w:val="24"/>
        </w:rPr>
        <w:tab/>
      </w:r>
      <w:r>
        <w:rPr>
          <w:b/>
          <w:sz w:val="22"/>
          <w:szCs w:val="24"/>
        </w:rPr>
        <w:tab/>
      </w:r>
      <w:r>
        <w:rPr>
          <w:b/>
          <w:sz w:val="22"/>
          <w:szCs w:val="24"/>
        </w:rPr>
        <w:t xml:space="preserve">5</w:t>
      </w:r>
      <w:r>
        <w:rPr>
          <w:b/>
          <w:sz w:val="22"/>
          <w:szCs w:val="24"/>
        </w:rPr>
      </w:r>
    </w:p>
    <w:p>
      <w:pPr>
        <w:numPr>
          <w:ilvl w:val="0"/>
          <w:numId w:val="14"/>
        </w:numPr>
        <w:contextualSpacing/>
        <w:ind w:left="284" w:hanging="284"/>
        <w:spacing w:after="240" w:line="360" w:lineRule="auto"/>
        <w:rPr>
          <w:b/>
          <w:sz w:val="22"/>
          <w:szCs w:val="24"/>
        </w:rPr>
      </w:pPr>
      <w:r>
        <w:rPr>
          <w:b/>
          <w:sz w:val="22"/>
          <w:szCs w:val="24"/>
        </w:rPr>
        <w:t xml:space="preserve">Требования к документации по ценообразованию на этапе закупки</w:t>
      </w:r>
      <w:r>
        <w:rPr>
          <w:b/>
          <w:sz w:val="22"/>
          <w:szCs w:val="24"/>
        </w:rPr>
        <w:tab/>
      </w:r>
      <w:r>
        <w:rPr>
          <w:b/>
          <w:sz w:val="22"/>
          <w:szCs w:val="24"/>
        </w:rPr>
        <w:tab/>
      </w:r>
      <w:r>
        <w:rPr>
          <w:b/>
          <w:sz w:val="22"/>
          <w:szCs w:val="24"/>
        </w:rPr>
        <w:tab/>
      </w:r>
      <w:r>
        <w:rPr>
          <w:b/>
          <w:sz w:val="22"/>
          <w:szCs w:val="24"/>
        </w:rPr>
        <w:tab/>
      </w:r>
      <w:r>
        <w:rPr>
          <w:b/>
          <w:sz w:val="22"/>
          <w:szCs w:val="24"/>
        </w:rPr>
        <w:t xml:space="preserve">17</w:t>
      </w:r>
      <w:r>
        <w:rPr>
          <w:b/>
          <w:sz w:val="22"/>
          <w:szCs w:val="24"/>
        </w:rPr>
      </w:r>
      <w:r>
        <w:rPr>
          <w:b/>
          <w:sz w:val="22"/>
          <w:szCs w:val="24"/>
        </w:rPr>
      </w:r>
    </w:p>
    <w:p>
      <w:pPr>
        <w:numPr>
          <w:ilvl w:val="0"/>
          <w:numId w:val="14"/>
        </w:numPr>
        <w:contextualSpacing/>
        <w:ind w:hanging="720"/>
        <w:spacing w:line="360" w:lineRule="auto"/>
        <w:tabs>
          <w:tab w:val="left" w:pos="284" w:leader="none"/>
        </w:tabs>
        <w:rPr>
          <w:b/>
          <w:sz w:val="22"/>
          <w:szCs w:val="24"/>
        </w:rPr>
      </w:pPr>
      <w:r>
        <w:rPr>
          <w:b/>
          <w:sz w:val="22"/>
          <w:szCs w:val="24"/>
        </w:rPr>
        <w:t xml:space="preserve">Требования к документации по ценообразованию на этапе заключения (исполнения)</w:t>
      </w:r>
      <w:r>
        <w:rPr>
          <w:b/>
          <w:sz w:val="22"/>
          <w:szCs w:val="24"/>
        </w:rPr>
      </w:r>
      <w:r>
        <w:rPr>
          <w:b/>
          <w:sz w:val="22"/>
          <w:szCs w:val="24"/>
        </w:rPr>
      </w:r>
    </w:p>
    <w:p>
      <w:pPr>
        <w:spacing w:line="360" w:lineRule="auto"/>
        <w:tabs>
          <w:tab w:val="left" w:pos="284" w:leader="none"/>
        </w:tabs>
        <w:rPr>
          <w:b/>
          <w:sz w:val="22"/>
          <w:szCs w:val="24"/>
        </w:rPr>
      </w:pPr>
      <w:r>
        <w:rPr>
          <w:b/>
          <w:sz w:val="22"/>
          <w:szCs w:val="24"/>
        </w:rPr>
        <w:t xml:space="preserve"> Договора</w:t>
      </w:r>
      <w:r>
        <w:rPr>
          <w:b/>
          <w:sz w:val="22"/>
          <w:szCs w:val="24"/>
        </w:rPr>
        <w:tab/>
      </w:r>
      <w:r>
        <w:rPr>
          <w:b/>
          <w:sz w:val="22"/>
          <w:szCs w:val="24"/>
        </w:rPr>
        <w:tab/>
      </w:r>
      <w:r>
        <w:rPr>
          <w:b/>
          <w:sz w:val="22"/>
          <w:szCs w:val="24"/>
        </w:rPr>
        <w:tab/>
      </w:r>
      <w:r>
        <w:rPr>
          <w:b/>
          <w:sz w:val="22"/>
          <w:szCs w:val="24"/>
        </w:rPr>
        <w:tab/>
      </w:r>
      <w:r>
        <w:rPr>
          <w:b/>
          <w:sz w:val="22"/>
          <w:szCs w:val="24"/>
        </w:rPr>
        <w:tab/>
      </w:r>
      <w:r>
        <w:rPr>
          <w:b/>
          <w:sz w:val="22"/>
          <w:szCs w:val="24"/>
        </w:rPr>
        <w:tab/>
      </w:r>
      <w:r>
        <w:rPr>
          <w:b/>
          <w:sz w:val="22"/>
          <w:szCs w:val="24"/>
        </w:rPr>
        <w:tab/>
      </w:r>
      <w:r>
        <w:rPr>
          <w:b/>
          <w:sz w:val="22"/>
          <w:szCs w:val="24"/>
        </w:rPr>
        <w:tab/>
      </w:r>
      <w:r>
        <w:rPr>
          <w:b/>
          <w:sz w:val="22"/>
          <w:szCs w:val="24"/>
        </w:rPr>
        <w:tab/>
      </w:r>
      <w:r>
        <w:rPr>
          <w:b/>
          <w:sz w:val="22"/>
          <w:szCs w:val="24"/>
        </w:rPr>
        <w:tab/>
      </w:r>
      <w:r>
        <w:rPr>
          <w:b/>
          <w:sz w:val="22"/>
          <w:szCs w:val="24"/>
        </w:rPr>
        <w:tab/>
      </w:r>
      <w:r>
        <w:rPr>
          <w:b/>
          <w:sz w:val="22"/>
          <w:szCs w:val="24"/>
        </w:rPr>
        <w:tab/>
        <w:t xml:space="preserve">17</w:t>
      </w:r>
      <w:r>
        <w:rPr>
          <w:b/>
          <w:sz w:val="22"/>
          <w:szCs w:val="24"/>
        </w:rPr>
      </w:r>
      <w:r>
        <w:rPr>
          <w:b/>
          <w:sz w:val="22"/>
          <w:szCs w:val="24"/>
        </w:rPr>
      </w:r>
    </w:p>
    <w:p>
      <w:pPr>
        <w:numPr>
          <w:ilvl w:val="0"/>
          <w:numId w:val="14"/>
        </w:numPr>
        <w:contextualSpacing/>
        <w:ind w:left="284" w:hanging="284"/>
        <w:spacing w:line="360" w:lineRule="auto"/>
        <w:tabs>
          <w:tab w:val="left" w:pos="4253" w:leader="none"/>
        </w:tabs>
        <w:rPr>
          <w:b/>
          <w:sz w:val="22"/>
          <w:szCs w:val="24"/>
        </w:rPr>
      </w:pPr>
      <w:r>
        <w:rPr>
          <w:b/>
          <w:sz w:val="22"/>
          <w:szCs w:val="24"/>
        </w:rPr>
        <w:t xml:space="preserve">Приложения</w:t>
      </w:r>
      <w:r>
        <w:rPr>
          <w:b/>
          <w:sz w:val="22"/>
          <w:szCs w:val="24"/>
        </w:rPr>
        <w:tab/>
      </w:r>
      <w:r>
        <w:rPr>
          <w:b/>
          <w:sz w:val="22"/>
          <w:szCs w:val="24"/>
        </w:rPr>
        <w:tab/>
      </w:r>
      <w:r>
        <w:rPr>
          <w:b/>
          <w:sz w:val="22"/>
          <w:szCs w:val="24"/>
        </w:rPr>
        <w:tab/>
      </w:r>
      <w:r>
        <w:rPr>
          <w:b/>
          <w:sz w:val="22"/>
          <w:szCs w:val="24"/>
        </w:rPr>
        <w:tab/>
      </w:r>
      <w:r>
        <w:rPr>
          <w:b/>
          <w:sz w:val="22"/>
          <w:szCs w:val="24"/>
        </w:rPr>
        <w:tab/>
      </w:r>
      <w:r>
        <w:rPr>
          <w:b/>
          <w:sz w:val="22"/>
          <w:szCs w:val="24"/>
        </w:rPr>
        <w:tab/>
      </w:r>
      <w:r>
        <w:rPr>
          <w:b/>
          <w:sz w:val="22"/>
          <w:szCs w:val="24"/>
        </w:rPr>
        <w:tab/>
      </w:r>
      <w:r>
        <w:rPr>
          <w:b/>
          <w:sz w:val="22"/>
          <w:szCs w:val="24"/>
        </w:rPr>
        <w:tab/>
        <w:t xml:space="preserve">17</w:t>
      </w:r>
      <w:r>
        <w:rPr>
          <w:b/>
          <w:sz w:val="22"/>
          <w:szCs w:val="24"/>
        </w:rPr>
      </w:r>
      <w:r>
        <w:rPr>
          <w:b/>
          <w:sz w:val="22"/>
          <w:szCs w:val="24"/>
        </w:rPr>
      </w:r>
    </w:p>
    <w:p>
      <w:pPr>
        <w:spacing w:line="360" w:lineRule="auto"/>
        <w:tabs>
          <w:tab w:val="left" w:pos="425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81"/>
        <w:numPr>
          <w:ilvl w:val="0"/>
          <w:numId w:val="0"/>
        </w:numPr>
        <w:rPr>
          <w:b w:val="0"/>
          <w:i/>
        </w:rPr>
      </w:pPr>
      <w:r>
        <w:rPr>
          <w:b w:val="0"/>
          <w:i/>
        </w:rPr>
      </w:r>
      <w:r>
        <w:rPr>
          <w:b w:val="0"/>
          <w:i/>
        </w:rPr>
      </w:r>
      <w:r>
        <w:rPr>
          <w:b w:val="0"/>
          <w:i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 w:clear="all"/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880"/>
        <w:ind w:left="357" w:hanging="357"/>
        <w:jc w:val="center"/>
        <w:keepLines/>
        <w:rPr>
          <w:caps/>
          <w:sz w:val="24"/>
          <w:szCs w:val="24"/>
          <w:lang w:val="ru-RU"/>
        </w:rPr>
      </w:pPr>
      <w:r/>
      <w:bookmarkStart w:id="0" w:name="_Toc51339692"/>
      <w:r/>
      <w:bookmarkStart w:id="1" w:name="_Toc54646395"/>
      <w:r>
        <w:rPr>
          <w:sz w:val="24"/>
          <w:szCs w:val="24"/>
          <w:lang w:val="ru-RU"/>
        </w:rPr>
        <w:t xml:space="preserve">Общие сведения</w:t>
      </w:r>
      <w:bookmarkEnd w:id="0"/>
      <w:r/>
      <w:bookmarkEnd w:id="1"/>
      <w:r>
        <w:rPr>
          <w:caps/>
          <w:sz w:val="24"/>
          <w:szCs w:val="24"/>
          <w:lang w:val="ru-RU"/>
        </w:rPr>
      </w:r>
      <w:r>
        <w:rPr>
          <w:caps/>
          <w:sz w:val="24"/>
          <w:szCs w:val="24"/>
          <w:lang w:val="ru-RU"/>
        </w:rPr>
      </w:r>
    </w:p>
    <w:p>
      <w:pPr>
        <w:pStyle w:val="883"/>
        <w:rPr>
          <w:rStyle w:val="977"/>
          <w:b/>
          <w:i w:val="0"/>
          <w:shd w:val="clear" w:color="auto" w:fill="auto"/>
        </w:rPr>
      </w:pPr>
      <w:r/>
      <w:bookmarkStart w:id="2" w:name="_Toc46743505"/>
      <w:r/>
      <w:bookmarkStart w:id="3" w:name="_Toc54646396"/>
      <w:r>
        <w:t xml:space="preserve">Обозначения и сокращения</w:t>
      </w:r>
      <w:bookmarkEnd w:id="2"/>
      <w:r/>
      <w:bookmarkEnd w:id="3"/>
      <w:r>
        <w:rPr>
          <w:rStyle w:val="977"/>
          <w:b/>
          <w:i w:val="0"/>
          <w:shd w:val="clear" w:color="auto" w:fill="auto"/>
        </w:rPr>
      </w:r>
      <w:r>
        <w:rPr>
          <w:rStyle w:val="977"/>
          <w:b/>
          <w:i w:val="0"/>
          <w:shd w:val="clear" w:color="auto" w:fill="auto"/>
        </w:rPr>
      </w:r>
    </w:p>
    <w:tbl>
      <w:tblPr>
        <w:tblStyle w:val="903"/>
        <w:tblW w:w="0" w:type="auto"/>
        <w:tblLook w:val="04A0" w:firstRow="1" w:lastRow="0" w:firstColumn="1" w:lastColumn="0" w:noHBand="0" w:noVBand="1"/>
      </w:tblPr>
      <w:tblGrid>
        <w:gridCol w:w="1413"/>
        <w:gridCol w:w="8498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jc w:val="both"/>
              <w:keepLines/>
              <w:keepNext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СЭУ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8498" w:type="dxa"/>
            <w:textDirection w:val="lrTb"/>
            <w:noWrap w:val="false"/>
          </w:tcPr>
          <w:p>
            <w:pPr>
              <w:jc w:val="both"/>
              <w:keepLines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Стационарная электролизная установка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jc w:val="both"/>
              <w:keepLines/>
              <w:keepNext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СМР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8498" w:type="dxa"/>
            <w:textDirection w:val="lrTb"/>
            <w:noWrap w:val="false"/>
          </w:tcPr>
          <w:p>
            <w:pPr>
              <w:jc w:val="both"/>
              <w:keepLines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Строительно-монтажные работы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jc w:val="both"/>
              <w:keepLines/>
              <w:keepNext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ПНР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8498" w:type="dxa"/>
            <w:textDirection w:val="lrTb"/>
            <w:noWrap w:val="false"/>
          </w:tcPr>
          <w:p>
            <w:pPr>
              <w:jc w:val="both"/>
              <w:keepLines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Пусконаладочные работы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jc w:val="both"/>
              <w:keepLines/>
              <w:keepNext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ПОС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8498" w:type="dxa"/>
            <w:textDirection w:val="lrTb"/>
            <w:noWrap w:val="false"/>
          </w:tcPr>
          <w:p>
            <w:pPr>
              <w:jc w:val="both"/>
              <w:keepLines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 организации строительства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jc w:val="both"/>
              <w:keepLines/>
              <w:keepNext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СРО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8498" w:type="dxa"/>
            <w:textDirection w:val="lrTb"/>
            <w:noWrap w:val="false"/>
          </w:tcPr>
          <w:p>
            <w:pPr>
              <w:jc w:val="both"/>
              <w:keepLines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Саморегулируемые организации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3"/>
      </w:pPr>
      <w:r/>
      <w:bookmarkStart w:id="4" w:name="_Toc46743506"/>
      <w:r/>
      <w:bookmarkStart w:id="5" w:name="_Toc54646397"/>
      <w:r>
        <w:t xml:space="preserve">Наименование </w:t>
      </w:r>
      <w:r>
        <w:t xml:space="preserve">закупаемой продукции</w:t>
      </w:r>
      <w:bookmarkEnd w:id="4"/>
      <w:r/>
      <w:bookmarkEnd w:id="5"/>
      <w:r/>
      <w:r/>
    </w:p>
    <w:p>
      <w:pPr>
        <w:ind w:firstLine="431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ОКПД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/>
          <w:sz w:val="24"/>
          <w:szCs w:val="24"/>
          <w:highlight w:val="white"/>
        </w:rPr>
        <w:t xml:space="preserve">41.10.10.000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Выпол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нение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 проектных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 работ по техническому перевооружению оборудования для производства водорода в части замены электролизной установки СЭУ-4М на комплектную модульную установку по выработке газоо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бразного водорода для нужд СП Артемовская ТЭЦ,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в рамках инвестицион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ного проекта 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R_505АрТЭЦ-14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, г. Артем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3"/>
        <w:ind w:left="431" w:hanging="431"/>
        <w:spacing w:before="240"/>
      </w:pPr>
      <w:r/>
      <w:bookmarkStart w:id="6" w:name="_Toc46743507"/>
      <w:r/>
      <w:bookmarkStart w:id="7" w:name="_Toc54646398"/>
      <w:r>
        <w:t xml:space="preserve">Цель </w:t>
      </w:r>
      <w:bookmarkEnd w:id="6"/>
      <w:r>
        <w:rPr>
          <w:lang w:val="ru-RU"/>
        </w:rPr>
        <w:t xml:space="preserve">выполнения работ</w:t>
      </w:r>
      <w:r>
        <w:t xml:space="preserve"> </w:t>
      </w:r>
      <w:bookmarkEnd w:id="7"/>
      <w:r/>
      <w:r/>
    </w:p>
    <w:p>
      <w:pPr>
        <w:jc w:val="both"/>
        <w:spacing w:before="120" w:after="240"/>
        <w:widowControl w:val="off"/>
        <w:tabs>
          <w:tab w:val="left" w:pos="426" w:leader="none"/>
        </w:tabs>
        <w:rPr>
          <w:rStyle w:val="977"/>
          <w:b w:val="0"/>
          <w:bCs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 xml:space="preserve">Замена морально и физически устаревшего оборудован</w:t>
      </w:r>
      <w:r>
        <w:rPr>
          <w:sz w:val="24"/>
          <w:szCs w:val="24"/>
        </w:rPr>
        <w:t xml:space="preserve">ия электролизной установки типа СЭУ-4М для производства газообразного водорода используемого в качестве теплоёмкой охлаждающей среды для турбогенераторов типа ТВФ-100-2 на новую модульную установку для производства газообразного водорода</w:t>
      </w:r>
      <w:r>
        <w:rPr>
          <w:b w:val="0"/>
          <w:bCs w:val="0"/>
          <w:sz w:val="24"/>
          <w:szCs w:val="24"/>
        </w:rPr>
        <w:t xml:space="preserve">.</w:t>
      </w:r>
      <w:r>
        <w:rPr>
          <w:rStyle w:val="977"/>
          <w:b w:val="0"/>
          <w:bCs/>
          <w:sz w:val="24"/>
          <w:szCs w:val="24"/>
        </w:rPr>
      </w:r>
      <w:r>
        <w:rPr>
          <w:rStyle w:val="977"/>
          <w:b w:val="0"/>
          <w:bCs/>
          <w:sz w:val="24"/>
          <w:szCs w:val="24"/>
        </w:rPr>
      </w:r>
    </w:p>
    <w:p>
      <w:pPr>
        <w:pStyle w:val="883"/>
      </w:pPr>
      <w:r/>
      <w:bookmarkStart w:id="8" w:name="_Toc46743508"/>
      <w:r/>
      <w:bookmarkStart w:id="9" w:name="_Toc54646399"/>
      <w:r>
        <w:t xml:space="preserve">Существующее положение</w:t>
      </w:r>
      <w:bookmarkEnd w:id="8"/>
      <w:r>
        <w:rPr>
          <w:lang w:val="ru-RU"/>
        </w:rPr>
        <w:t xml:space="preserve"> </w:t>
      </w:r>
      <w:bookmarkEnd w:id="9"/>
      <w:r/>
      <w:r/>
    </w:p>
    <w:p>
      <w:pPr>
        <w:pStyle w:val="880"/>
        <w:numPr>
          <w:ilvl w:val="0"/>
          <w:numId w:val="0"/>
        </w:numPr>
        <w:keepLines/>
        <w:spacing w:before="240"/>
        <w:rPr>
          <w:sz w:val="24"/>
          <w:szCs w:val="24"/>
          <w:lang w:val="ru-RU"/>
        </w:rPr>
      </w:pPr>
      <w:r/>
      <w:bookmarkStart w:id="10" w:name="_Toc54646400"/>
      <w:r>
        <w:rPr>
          <w:sz w:val="24"/>
          <w:szCs w:val="24"/>
        </w:rPr>
        <w:t xml:space="preserve">Таблица 1</w:t>
      </w:r>
      <w:r>
        <w:rPr>
          <w:sz w:val="24"/>
          <w:szCs w:val="24"/>
          <w:lang w:val="ru-RU"/>
        </w:rPr>
        <w:t xml:space="preserve">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объектов заказчика</w:t>
      </w:r>
      <w:bookmarkEnd w:id="10"/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tbl>
      <w:tblPr>
        <w:tblW w:w="103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118"/>
        <w:gridCol w:w="2409"/>
        <w:gridCol w:w="2693"/>
        <w:gridCol w:w="1559"/>
      </w:tblGrid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объекта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</w:r>
            <w:r>
              <w:rPr>
                <w:i/>
                <w:iCs/>
                <w:sz w:val="24"/>
                <w:szCs w:val="24"/>
              </w:rPr>
              <w:t xml:space="preserve">(место производства работ)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 xml:space="preserve">(в отношении которого выполняются работы)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Примечания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881"/>
        </w:trPr>
        <w:tc>
          <w:tcPr>
            <w:tcW w:w="567" w:type="dxa"/>
            <w:textDirection w:val="lrTb"/>
            <w:noWrap w:val="false"/>
          </w:tcPr>
          <w:p>
            <w:pPr>
              <w:pStyle w:val="946"/>
              <w:numPr>
                <w:ilvl w:val="0"/>
                <w:numId w:val="10"/>
              </w:numPr>
            </w:pPr>
            <w:r/>
            <w:r/>
          </w:p>
        </w:tc>
        <w:tc>
          <w:tcPr>
            <w:shd w:val="clear" w:color="auto" w:fill="auto"/>
            <w:tcW w:w="3118" w:type="dxa"/>
            <w:textDirection w:val="lrTb"/>
            <w:noWrap w:val="false"/>
          </w:tcPr>
          <w:p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ОКПД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white"/>
              </w:rPr>
              <w:t xml:space="preserve">41.10.10.000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Выпол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нение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проектных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работ по техническому перевооружению оборудования для производства водорода в части замены электролизной установки СЭУ-4М на комплектную модульную установку по выработке газоо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бразного водорода для нужд СП Артемовская ТЭЦ,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в рамках инвестицион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ного проекта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R_505АрТЭЦ-14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, г. Артем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  <w:p>
            <w:pPr>
              <w:keepLines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shd w:val="clear" w:color="auto" w:fill="auto"/>
            <w:tcW w:w="240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  <w:t xml:space="preserve">Приморский край, г. Артем, ул. Каширская, 23, СП «Артемовская ТЭЦ» АО «ДГК»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Электролизерная "Водородная установка"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 xml:space="preserve">(инв. номер </w:t>
            </w:r>
            <w:r>
              <w:rPr>
                <w:sz w:val="24"/>
                <w:szCs w:val="24"/>
                <w:highlight w:val="white"/>
              </w:rPr>
              <w:t xml:space="preserve">E2625230</w:t>
            </w:r>
            <w:r>
              <w:rPr>
                <w:sz w:val="24"/>
                <w:szCs w:val="24"/>
                <w:highlight w:val="white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r/>
            <w:r/>
          </w:p>
        </w:tc>
      </w:tr>
    </w:tbl>
    <w:p>
      <w:pPr>
        <w:pStyle w:val="880"/>
        <w:numPr>
          <w:ilvl w:val="0"/>
          <w:numId w:val="0"/>
        </w:numPr>
        <w:ind w:left="357"/>
        <w:keepLines/>
        <w:rPr>
          <w:iCs/>
          <w:caps/>
          <w:sz w:val="24"/>
          <w:szCs w:val="24"/>
          <w:lang w:val="ru-RU"/>
        </w:rPr>
      </w:pPr>
      <w:r/>
      <w:bookmarkStart w:id="11" w:name="_Toc51339693"/>
      <w:r/>
      <w:bookmarkStart w:id="12" w:name="_Toc54646403"/>
      <w:r/>
      <w:bookmarkStart w:id="13" w:name="_Toc50125126"/>
      <w:r/>
      <w:bookmarkStart w:id="14" w:name="_Toc46743510"/>
      <w:r>
        <w:rPr>
          <w:iCs/>
          <w:caps/>
          <w:sz w:val="24"/>
          <w:szCs w:val="24"/>
          <w:lang w:val="ru-RU"/>
        </w:rPr>
      </w:r>
      <w:r>
        <w:rPr>
          <w:iCs/>
          <w:caps/>
          <w:sz w:val="24"/>
          <w:szCs w:val="24"/>
          <w:lang w:val="ru-RU"/>
        </w:rPr>
      </w:r>
    </w:p>
    <w:p>
      <w:pPr>
        <w:pStyle w:val="880"/>
        <w:ind w:left="357" w:hanging="357"/>
        <w:jc w:val="center"/>
        <w:keepLines/>
        <w:rPr>
          <w:iCs/>
          <w:caps/>
          <w:sz w:val="24"/>
          <w:szCs w:val="24"/>
          <w:lang w:val="ru-RU"/>
        </w:rPr>
      </w:pPr>
      <w:r>
        <w:rPr>
          <w:iCs/>
          <w:sz w:val="24"/>
          <w:szCs w:val="24"/>
        </w:rPr>
        <w:t xml:space="preserve">Требования к продукции</w:t>
      </w:r>
      <w:bookmarkEnd w:id="11"/>
      <w:r/>
      <w:bookmarkEnd w:id="12"/>
      <w:r>
        <w:rPr>
          <w:iCs/>
          <w:caps/>
          <w:sz w:val="24"/>
          <w:szCs w:val="24"/>
          <w:lang w:val="ru-RU"/>
        </w:rPr>
      </w:r>
      <w:r>
        <w:rPr>
          <w:iCs/>
          <w:caps/>
          <w:sz w:val="24"/>
          <w:szCs w:val="24"/>
          <w:lang w:val="ru-RU"/>
        </w:rPr>
      </w:r>
    </w:p>
    <w:p>
      <w:pPr>
        <w:pStyle w:val="883"/>
      </w:pPr>
      <w:r/>
      <w:bookmarkStart w:id="15" w:name="_Toc54646404"/>
      <w:r>
        <w:t xml:space="preserve">Требования к объемам и срокам </w:t>
      </w:r>
      <w:r>
        <w:rPr>
          <w:lang w:val="ru-RU"/>
        </w:rPr>
        <w:t xml:space="preserve">выполнения работ</w:t>
      </w:r>
      <w:bookmarkEnd w:id="15"/>
      <w:r/>
      <w:r/>
    </w:p>
    <w:p>
      <w:pPr>
        <w:pStyle w:val="882"/>
      </w:pPr>
      <w:r/>
      <w:bookmarkStart w:id="16" w:name="_Toc54646405"/>
      <w:r>
        <w:rPr>
          <w:lang w:val="ru-RU"/>
        </w:rPr>
        <w:t xml:space="preserve">Требования к видам и объемам работ</w:t>
      </w:r>
      <w:bookmarkEnd w:id="16"/>
      <w:r/>
      <w:r/>
    </w:p>
    <w:p>
      <w:pPr>
        <w:pStyle w:val="880"/>
        <w:numPr>
          <w:ilvl w:val="0"/>
          <w:numId w:val="0"/>
        </w:numPr>
        <w:keepLines/>
        <w:spacing w:before="240" w:line="360" w:lineRule="auto"/>
        <w:rPr>
          <w:sz w:val="24"/>
          <w:szCs w:val="24"/>
          <w:lang w:val="ru-RU"/>
        </w:rPr>
      </w:pPr>
      <w:r/>
      <w:bookmarkStart w:id="17" w:name="_Toc51339695"/>
      <w:r/>
      <w:bookmarkStart w:id="18" w:name="_Toc54646406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  <w:lang w:val="ru-RU"/>
        </w:rPr>
        <w:t xml:space="preserve">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</w:t>
      </w:r>
      <w:bookmarkEnd w:id="17"/>
      <w:r>
        <w:rPr>
          <w:sz w:val="24"/>
          <w:szCs w:val="24"/>
          <w:lang w:val="ru-RU"/>
        </w:rPr>
        <w:t xml:space="preserve">и объем </w:t>
      </w:r>
      <w:r>
        <w:rPr>
          <w:sz w:val="24"/>
          <w:szCs w:val="24"/>
          <w:lang w:val="ru-RU"/>
        </w:rPr>
        <w:t xml:space="preserve">выполняемых работ</w:t>
      </w:r>
      <w:bookmarkEnd w:id="18"/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tbl>
      <w:tblPr>
        <w:tblW w:w="98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4849"/>
        <w:gridCol w:w="1985"/>
        <w:gridCol w:w="2126"/>
      </w:tblGrid>
      <w:tr>
        <w:tblPrEx/>
        <w:trPr/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849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работ / этапа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Единица измерения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946"/>
              <w:numPr>
                <w:ilvl w:val="0"/>
                <w:numId w:val="11"/>
              </w:numPr>
            </w:pPr>
            <w:r/>
            <w:r/>
          </w:p>
        </w:tc>
        <w:tc>
          <w:tcPr>
            <w:tcW w:w="4849" w:type="dxa"/>
            <w:textDirection w:val="lrTb"/>
            <w:noWrap w:val="false"/>
          </w:tcPr>
          <w:p>
            <w:pPr>
              <w:tabs>
                <w:tab w:val="left" w:pos="1260" w:leader="none"/>
              </w:tabs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комплекса обследований в объёме, необходимом для разработки рабочей документации, сбор исходных данных.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объект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2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946"/>
              <w:numPr>
                <w:ilvl w:val="0"/>
                <w:numId w:val="11"/>
              </w:numPr>
            </w:pPr>
            <w:r/>
            <w:r/>
          </w:p>
        </w:tc>
        <w:tc>
          <w:tcPr>
            <w:tcW w:w="4849" w:type="dxa"/>
            <w:textDirection w:val="lrTb"/>
            <w:noWrap w:val="false"/>
          </w:tcPr>
          <w:p>
            <w:pPr>
              <w:ind w:right="193"/>
              <w:jc w:val="both"/>
              <w:spacing w:line="276" w:lineRule="auto"/>
              <w:tabs>
                <w:tab w:val="left" w:pos="365" w:leader="none"/>
              </w:tabs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sz w:val="24"/>
                <w:szCs w:val="24"/>
              </w:rPr>
              <w:t xml:space="preserve">Разработка и согласование с Заказчиком необходимых технических решений по проектной документации.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1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946"/>
              <w:numPr>
                <w:ilvl w:val="0"/>
                <w:numId w:val="11"/>
              </w:numPr>
            </w:pPr>
            <w:r/>
            <w:r/>
          </w:p>
        </w:tc>
        <w:tc>
          <w:tcPr>
            <w:tcW w:w="4849" w:type="dxa"/>
            <w:textDirection w:val="lrTb"/>
            <w:noWrap w:val="false"/>
          </w:tcPr>
          <w:p>
            <w:pPr>
              <w:ind w:right="193"/>
              <w:jc w:val="both"/>
              <w:spacing w:line="276" w:lineRule="auto"/>
              <w:tabs>
                <w:tab w:val="left" w:pos="365" w:leader="none"/>
              </w:tabs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sz w:val="24"/>
                <w:szCs w:val="24"/>
              </w:rPr>
              <w:t xml:space="preserve">Разработка рабочей документации, включая сметную.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1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Экспертиза промышленной безопасности проектной документации с получением положительного заключения.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Условная единица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1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</w:tbl>
    <w:p>
      <w:pPr>
        <w:ind w:firstLine="142"/>
        <w:spacing w:before="120" w:after="120"/>
        <w:widowControl w:val="off"/>
        <w:tabs>
          <w:tab w:val="left" w:pos="426" w:leader="none"/>
        </w:tabs>
        <w:rPr>
          <w:bCs/>
          <w:i/>
          <w:sz w:val="24"/>
          <w:szCs w:val="24"/>
          <w:shd w:val="clear" w:color="auto" w:fill="ffff99"/>
        </w:rPr>
      </w:pPr>
      <w:r>
        <w:rPr>
          <w:bCs/>
          <w:i/>
          <w:sz w:val="24"/>
          <w:szCs w:val="24"/>
          <w:shd w:val="clear" w:color="auto" w:fill="ffff99"/>
        </w:rPr>
      </w:r>
      <w:r>
        <w:rPr>
          <w:bCs/>
          <w:i/>
          <w:sz w:val="24"/>
          <w:szCs w:val="24"/>
          <w:shd w:val="clear" w:color="auto" w:fill="ffff99"/>
        </w:rPr>
      </w:r>
      <w:r>
        <w:rPr>
          <w:bCs/>
          <w:i/>
          <w:sz w:val="24"/>
          <w:szCs w:val="24"/>
          <w:shd w:val="clear" w:color="auto" w:fill="ffff99"/>
        </w:rPr>
      </w:r>
    </w:p>
    <w:p>
      <w:pPr>
        <w:pStyle w:val="882"/>
        <w:rPr>
          <w:lang w:val="ru-RU"/>
        </w:rPr>
      </w:pPr>
      <w:r/>
      <w:bookmarkStart w:id="19" w:name="_Toc51339696"/>
      <w:r/>
      <w:bookmarkStart w:id="20" w:name="_Toc54646407"/>
      <w:r>
        <w:rPr>
          <w:lang w:val="ru-RU"/>
        </w:rPr>
        <w:t xml:space="preserve">Требования </w:t>
      </w:r>
      <w:bookmarkEnd w:id="19"/>
      <w:r>
        <w:rPr>
          <w:lang w:val="ru-RU"/>
        </w:rPr>
        <w:t xml:space="preserve">к срокам выполнения работ</w:t>
      </w:r>
      <w:bookmarkEnd w:id="20"/>
      <w:r>
        <w:rPr>
          <w:lang w:val="ru-RU"/>
        </w:rPr>
      </w:r>
      <w:r>
        <w:rPr>
          <w:lang w:val="ru-RU"/>
        </w:rPr>
      </w:r>
    </w:p>
    <w:p>
      <w:pPr>
        <w:pStyle w:val="880"/>
        <w:numPr>
          <w:ilvl w:val="0"/>
          <w:numId w:val="0"/>
        </w:numPr>
        <w:keepLines/>
        <w:spacing w:before="240" w:line="360" w:lineRule="auto"/>
        <w:rPr>
          <w:sz w:val="24"/>
          <w:szCs w:val="24"/>
          <w:lang w:val="ru-RU"/>
        </w:rPr>
      </w:pPr>
      <w:r/>
      <w:bookmarkStart w:id="21" w:name="_Toc50125127"/>
      <w:r/>
      <w:bookmarkStart w:id="22" w:name="_Toc51339697"/>
      <w:r/>
      <w:bookmarkStart w:id="23" w:name="_Toc54646408"/>
      <w:r/>
      <w:bookmarkEnd w:id="13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3</w:t>
      </w:r>
      <w:r>
        <w:rPr>
          <w:sz w:val="24"/>
          <w:szCs w:val="24"/>
        </w:rPr>
        <w:t xml:space="preserve">. </w:t>
      </w:r>
      <w:bookmarkStart w:id="24" w:name="_Hlk50465284"/>
      <w:r>
        <w:rPr>
          <w:sz w:val="24"/>
          <w:szCs w:val="24"/>
        </w:rPr>
        <w:t xml:space="preserve">Требования по срокам </w:t>
      </w:r>
      <w:bookmarkEnd w:id="21"/>
      <w:r/>
      <w:bookmarkEnd w:id="22"/>
      <w:r/>
      <w:bookmarkEnd w:id="24"/>
      <w:r>
        <w:rPr>
          <w:sz w:val="24"/>
          <w:szCs w:val="24"/>
          <w:lang w:val="ru-RU"/>
        </w:rPr>
        <w:t xml:space="preserve">выполнения работ</w:t>
      </w:r>
      <w:bookmarkEnd w:id="23"/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tbl>
      <w:tblPr>
        <w:tblW w:w="97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3260"/>
        <w:gridCol w:w="2835"/>
        <w:gridCol w:w="2831"/>
      </w:tblGrid>
      <w:tr>
        <w:tblPrEx/>
        <w:trPr/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26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работ/ этапа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выполнения работ/ этапа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выполнения работ / этапа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5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26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975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1" w:type="dxa"/>
            <w:textDirection w:val="lrTb"/>
            <w:noWrap w:val="false"/>
          </w:tcPr>
          <w:p>
            <w:pPr>
              <w:pStyle w:val="975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50" w:type="dxa"/>
            <w:textDirection w:val="lrTb"/>
            <w:noWrap w:val="false"/>
          </w:tcPr>
          <w:p>
            <w:pPr>
              <w:pStyle w:val="946"/>
              <w:numPr>
                <w:ilvl w:val="0"/>
                <w:numId w:val="13"/>
              </w:numPr>
            </w:pPr>
            <w:r/>
            <w:r/>
          </w:p>
        </w:tc>
        <w:tc>
          <w:tcPr>
            <w:shd w:val="clear" w:color="auto" w:fill="auto"/>
            <w:tcW w:w="326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комплекса обследований в объёме, необходимом для разработки рабочей документации, сбор исходных данных.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даты заключения договора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1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течении 30 дней с даты заключения договора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50" w:type="dxa"/>
            <w:textDirection w:val="lrTb"/>
            <w:noWrap w:val="false"/>
          </w:tcPr>
          <w:p>
            <w:pPr>
              <w:pStyle w:val="946"/>
              <w:numPr>
                <w:ilvl w:val="0"/>
                <w:numId w:val="13"/>
              </w:numPr>
            </w:pPr>
            <w:r/>
            <w:r/>
          </w:p>
        </w:tc>
        <w:tc>
          <w:tcPr>
            <w:shd w:val="clear" w:color="auto" w:fill="auto"/>
            <w:tcW w:w="326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и согласование с Заказчиком необходимых технических решений по проектной документации.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даты выполнения обследования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1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 xml:space="preserve">течении 3</w:t>
            </w:r>
            <w:r>
              <w:rPr>
                <w:sz w:val="24"/>
                <w:szCs w:val="24"/>
              </w:rPr>
              <w:t xml:space="preserve">0 дней </w:t>
            </w:r>
            <w:r>
              <w:rPr>
                <w:sz w:val="24"/>
                <w:szCs w:val="24"/>
              </w:rPr>
              <w:t xml:space="preserve">с даты завершения обследования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5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26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рабочей документации, включая сметную.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даты согласования технических решений по проектной документации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1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течении 30 дней с даты согласования технических решений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5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/>
            <w:bookmarkStart w:id="25" w:name="_Toc50125131"/>
            <w:r/>
            <w:bookmarkEnd w:id="14"/>
            <w:r>
              <w:rPr>
                <w:sz w:val="24"/>
                <w:szCs w:val="24"/>
              </w:rPr>
              <w:t xml:space="preserve">4.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26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Экспертиза промышленной безопасности проектной документации с получением положительного заключения.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даты разработки рабочей документации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1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течении 30 дней с даты разработки рабочей документации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keepLines/>
        <w:keepNext/>
        <w:spacing w:before="240" w:after="60"/>
        <w:rPr>
          <w:rFonts w:eastAsia="Calibri"/>
          <w:b/>
          <w:sz w:val="24"/>
          <w:szCs w:val="24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1134" w:right="851" w:bottom="992" w:left="1134" w:header="680" w:footer="737" w:gutter="0"/>
          <w:cols w:num="1" w:sep="0" w:space="708" w:equalWidth="1"/>
          <w:docGrid w:linePitch="360"/>
          <w:titlePg/>
        </w:sectPr>
        <w:outlineLvl w:val="0"/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pStyle w:val="883"/>
      </w:pPr>
      <w:r/>
      <w:bookmarkStart w:id="26" w:name="_Toc51339698"/>
      <w:r/>
      <w:bookmarkStart w:id="27" w:name="_Toc54646410"/>
      <w:r>
        <w:t xml:space="preserve">Требования к </w:t>
      </w:r>
      <w:r>
        <w:rPr>
          <w:lang w:val="ru-RU"/>
        </w:rPr>
        <w:t xml:space="preserve">качеству работ</w:t>
      </w:r>
      <w:r/>
    </w:p>
    <w:p>
      <w:pPr>
        <w:pStyle w:val="880"/>
        <w:numPr>
          <w:ilvl w:val="0"/>
          <w:numId w:val="0"/>
        </w:numPr>
        <w:keepLines/>
        <w:spacing w:before="24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Таблица </w:t>
      </w:r>
      <w:r>
        <w:rPr>
          <w:sz w:val="24"/>
          <w:szCs w:val="24"/>
          <w:lang w:val="ru-RU"/>
        </w:rPr>
        <w:t xml:space="preserve">4</w:t>
      </w:r>
      <w:r>
        <w:rPr>
          <w:sz w:val="24"/>
          <w:szCs w:val="24"/>
        </w:rPr>
        <w:t xml:space="preserve">. Требования к </w:t>
      </w:r>
      <w:bookmarkEnd w:id="25"/>
      <w:r/>
      <w:bookmarkEnd w:id="26"/>
      <w:r>
        <w:rPr>
          <w:sz w:val="24"/>
          <w:szCs w:val="24"/>
          <w:lang w:val="ru-RU"/>
        </w:rPr>
        <w:t xml:space="preserve">качеству работ</w:t>
      </w:r>
      <w:bookmarkEnd w:id="27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По 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ыпол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нению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 проектных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 работ по техническому перевооружению оборудования для производства водорода в части замены электролизной установки СЭУ-4М на комплектную модульную установку по выработке газоо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бразного водорода для нужд СП Артемовская ТЭЦ,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в рамках инвестицион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ного проекта 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R_505АрТЭЦ-14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, г. Артем</w:t>
      </w:r>
      <w:r>
        <w:rPr>
          <w:highlight w:val="none"/>
        </w:rPr>
      </w:r>
      <w:r>
        <w:rPr>
          <w:highlight w:val="none"/>
        </w:rPr>
      </w:r>
    </w:p>
    <w:p>
      <w:r>
        <w:rPr>
          <w:highlight w:val="none"/>
        </w:rPr>
      </w:r>
      <w:r>
        <w:rPr>
          <w:highlight w:val="none"/>
        </w:rPr>
      </w:r>
      <w:r/>
    </w:p>
    <w:tbl>
      <w:tblPr>
        <w:tblStyle w:val="903"/>
        <w:tblW w:w="1531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42"/>
        <w:gridCol w:w="2282"/>
        <w:gridCol w:w="296"/>
        <w:gridCol w:w="7074"/>
        <w:gridCol w:w="2126"/>
        <w:gridCol w:w="2693"/>
      </w:tblGrid>
      <w:tr>
        <w:tblPrEx/>
        <w:trPr/>
        <w:tc>
          <w:tcPr>
            <w:tcW w:w="842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п/п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257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07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Требование заказчика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481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842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2577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07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842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257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707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42" w:type="dxa"/>
            <w:vAlign w:val="center"/>
            <w:textDirection w:val="lrTb"/>
            <w:noWrap w:val="false"/>
          </w:tcPr>
          <w:p>
            <w:pPr>
              <w:pStyle w:val="946"/>
              <w:numPr>
                <w:ilvl w:val="0"/>
                <w:numId w:val="8"/>
              </w:numPr>
              <w:jc w:val="center"/>
              <w:spacing w:before="60" w:after="60"/>
            </w:pPr>
            <w:r/>
            <w:r/>
          </w:p>
        </w:tc>
        <w:tc>
          <w:tcPr>
            <w:gridSpan w:val="3"/>
            <w:tcW w:w="9652" w:type="dxa"/>
            <w:vAlign w:val="center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выполнению работ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42" w:type="dxa"/>
            <w:vAlign w:val="center"/>
            <w:textDirection w:val="lrTb"/>
            <w:noWrap w:val="false"/>
          </w:tcPr>
          <w:p>
            <w:pPr>
              <w:pStyle w:val="946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3"/>
            <w:tcW w:w="9652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Общие требования к выполнению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keepLines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ыпол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нение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проектных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работ по техническому перевооружению оборудования для производства водорода, замена электролизной установки СЭУ-4М на комплектную модульную установку по выработке газоо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бразного водорода для нужд СП Артемовская ТЭЦ</w:t>
            </w:r>
            <w:r>
              <w:rPr>
                <w:sz w:val="24"/>
                <w:szCs w:val="24"/>
              </w:rPr>
              <w:t xml:space="preserve"> "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spacing w:before="60" w:after="6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Участник должен предоставить в заявке согласие выполнить работы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W w:w="842" w:type="dxa"/>
            <w:vAlign w:val="center"/>
            <w:textDirection w:val="lrTb"/>
            <w:noWrap w:val="false"/>
          </w:tcPr>
          <w:p>
            <w:pPr>
              <w:pStyle w:val="946"/>
              <w:numPr>
                <w:ilvl w:val="2"/>
                <w:numId w:val="8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gridSpan w:val="2"/>
            <w:shd w:val="clear" w:color="auto" w:fill="auto"/>
            <w:tcW w:w="2577" w:type="dxa"/>
            <w:textDirection w:val="lrTb"/>
            <w:noWrap w:val="false"/>
          </w:tcPr>
          <w:p>
            <w:pPr>
              <w:jc w:val="both"/>
              <w:tabs>
                <w:tab w:val="left" w:pos="7792" w:leader="none"/>
              </w:tabs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Технические требования к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7074" w:type="dxa"/>
            <w:textDirection w:val="lrTb"/>
            <w:noWrap w:val="false"/>
          </w:tcPr>
          <w:p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Выполнении работ подрядчиком осуществляется в соответствующие требованиям Заказчика, изложенным в Технических требованиях (Приложение № 1 к Документации о закупке ТЗ к договору).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  <w:p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  <w:p>
            <w:pPr>
              <w:jc w:val="both"/>
              <w:tabs>
                <w:tab w:val="left" w:pos="779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12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693" w:type="dxa"/>
            <w:vAlign w:val="center"/>
            <w:textDirection w:val="lrTb"/>
            <w:noWrap w:val="false"/>
          </w:tcPr>
          <w:p>
            <w:pPr>
              <w:pStyle w:val="971"/>
              <w:jc w:val="left"/>
              <w:keepNext w:val="0"/>
              <w:spacing w:before="0"/>
              <w:rPr>
                <w:rFonts w:eastAsia="Times New Roman"/>
                <w:lang w:val="ru-RU" w:eastAsia="ru-RU"/>
              </w:rPr>
              <w:outlineLvl w:val="2"/>
            </w:pPr>
            <w:r>
              <w:rPr>
                <w:rFonts w:eastAsia="Times New Roman"/>
                <w:lang w:val="ru-RU" w:eastAsia="ru-RU"/>
              </w:rPr>
            </w:r>
            <w:r>
              <w:rPr>
                <w:rFonts w:eastAsia="Times New Roman"/>
                <w:lang w:val="ru-RU" w:eastAsia="ru-RU"/>
              </w:rPr>
            </w:r>
            <w:r>
              <w:rPr>
                <w:rFonts w:eastAsia="Times New Roman"/>
                <w:lang w:val="ru-RU" w:eastAsia="ru-RU"/>
              </w:rPr>
            </w:r>
          </w:p>
        </w:tc>
      </w:tr>
      <w:tr>
        <w:tblPrEx/>
        <w:trPr/>
        <w:tc>
          <w:tcPr>
            <w:tcW w:w="842" w:type="dxa"/>
            <w:vAlign w:val="center"/>
            <w:textDirection w:val="lrTb"/>
            <w:noWrap w:val="false"/>
          </w:tcPr>
          <w:p>
            <w:pPr>
              <w:pStyle w:val="946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gridSpan w:val="3"/>
            <w:tcW w:w="9652" w:type="dxa"/>
            <w:vAlign w:val="center"/>
            <w:textDirection w:val="lrTb"/>
            <w:noWrap w:val="false"/>
          </w:tcPr>
          <w:p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организации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42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2577" w:type="dxa"/>
            <w:textDirection w:val="lrTb"/>
            <w:noWrap w:val="false"/>
          </w:tcPr>
          <w:p>
            <w:pPr>
              <w:ind w:right="168"/>
              <w:jc w:val="both"/>
              <w:shd w:val="clear" w:color="auto" w:fill="ffffff"/>
              <w:tabs>
                <w:tab w:val="left" w:pos="602" w:leader="none"/>
                <w:tab w:val="left" w:pos="1418" w:leader="none"/>
              </w:tabs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организации процесса выполнения работ: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7074" w:type="dxa"/>
            <w:textDirection w:val="lrTb"/>
            <w:noWrap w:val="false"/>
          </w:tcPr>
          <w:p>
            <w:pPr>
              <w:ind w:right="168"/>
              <w:jc w:val="both"/>
              <w:shd w:val="clear" w:color="auto" w:fill="ffffff"/>
              <w:tabs>
                <w:tab w:val="left" w:pos="1418" w:leader="none"/>
              </w:tabs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начала выполнения Работ предоставить</w:t>
            </w:r>
            <w:r>
              <w:rPr>
                <w:bCs/>
                <w:sz w:val="24"/>
                <w:szCs w:val="24"/>
              </w:rPr>
              <w:t xml:space="preserve">: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946"/>
              <w:numPr>
                <w:ilvl w:val="0"/>
                <w:numId w:val="16"/>
              </w:numPr>
              <w:ind w:left="0" w:right="168" w:firstLine="35"/>
              <w:jc w:val="both"/>
              <w:shd w:val="clear" w:color="auto" w:fill="ffffff"/>
              <w:tabs>
                <w:tab w:val="left" w:pos="602" w:leader="none"/>
              </w:tabs>
            </w:pPr>
            <w:r>
              <w:t xml:space="preserve">контакты и должность представителей Подрядчика, уполномоченных на оперативное рассмотрение и решение технических и организационных вопросов, связанных с выполнением Работ</w:t>
            </w:r>
            <w:r>
              <w:rPr>
                <w:bCs/>
              </w:rPr>
              <w:t xml:space="preserve">; </w:t>
            </w:r>
            <w:r/>
          </w:p>
          <w:p>
            <w:pPr>
              <w:ind w:right="168"/>
              <w:jc w:val="both"/>
              <w:shd w:val="clear" w:color="auto" w:fill="ffffff"/>
              <w:tabs>
                <w:tab w:val="left" w:pos="602" w:leader="none"/>
                <w:tab w:val="left" w:pos="1418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контакты и должность представителя Подрядчика, ответственного за соблюдение норм и правил в област</w:t>
            </w:r>
            <w:r>
              <w:rPr>
                <w:bCs/>
                <w:sz w:val="24"/>
                <w:szCs w:val="24"/>
              </w:rPr>
              <w:t xml:space="preserve">и охраны труда, электробезопасности, пожарной и промышленной безопасности, природоохранного законодательства в Месте производства Работ. Подрядчик обязан обеспечить присутствие указанного лица в Месте производства Работ в течение всего срока их выполнения.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pStyle w:val="971"/>
              <w:keepNext w:val="0"/>
              <w:rPr>
                <w:rFonts w:eastAsia="Times New Roman"/>
                <w:b w:val="0"/>
                <w:lang w:val="ru-RU" w:eastAsia="ru-RU"/>
              </w:rPr>
              <w:outlineLvl w:val="2"/>
            </w:pPr>
            <w:r>
              <w:rPr>
                <w:rFonts w:eastAsia="Times New Roman"/>
                <w:b w:val="0"/>
                <w:lang w:val="ru-RU" w:eastAsia="ru-RU"/>
              </w:rPr>
              <w:t xml:space="preserve">-</w:t>
            </w:r>
            <w:r>
              <w:rPr>
                <w:rFonts w:eastAsia="Times New Roman"/>
                <w:b w:val="0"/>
                <w:lang w:val="ru-RU" w:eastAsia="ru-RU"/>
              </w:rPr>
            </w:r>
            <w:r>
              <w:rPr>
                <w:rFonts w:eastAsia="Times New Roman"/>
                <w:b w:val="0"/>
                <w:lang w:val="ru-RU" w:eastAsia="ru-RU"/>
              </w:rPr>
            </w:r>
          </w:p>
        </w:tc>
      </w:tr>
      <w:tr>
        <w:tblPrEx/>
        <w:trPr/>
        <w:tc>
          <w:tcPr>
            <w:tcW w:w="842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2577" w:type="dxa"/>
            <w:textDirection w:val="lrTb"/>
            <w:noWrap w:val="false"/>
          </w:tcPr>
          <w:p>
            <w:pPr>
              <w:ind w:right="168"/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Организационно-технические мероприятия по допуску персонала подрядчика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074" w:type="dxa"/>
            <w:textDirection w:val="lrTb"/>
            <w:noWrap w:val="false"/>
          </w:tcPr>
          <w:p>
            <w:pPr>
              <w:ind w:right="1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Допуск персонала подрядчика для выполнения работ должен осуществляться в соответствии с Положением о допуске персонала подрядных организаций к выполнению работ на объектах АО «ДГК» 22.1-504-2022 с обязательным оформлением необходимых нарядов-допусков.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68"/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Подготовку рабочих мест и допуск к выполнению работ выполняет персонал заказчика.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pStyle w:val="971"/>
              <w:keepNext w:val="0"/>
              <w:rPr>
                <w:rFonts w:eastAsia="Times New Roman"/>
                <w:b w:val="0"/>
                <w:lang w:val="ru-RU" w:eastAsia="ru-RU"/>
              </w:rPr>
              <w:outlineLvl w:val="2"/>
            </w:pPr>
            <w:r>
              <w:rPr>
                <w:rFonts w:eastAsia="Times New Roman"/>
                <w:b w:val="0"/>
                <w:lang w:val="ru-RU" w:eastAsia="ru-RU"/>
              </w:rPr>
              <w:t xml:space="preserve">-</w:t>
            </w:r>
            <w:r>
              <w:rPr>
                <w:rFonts w:eastAsia="Times New Roman"/>
                <w:b w:val="0"/>
                <w:lang w:val="ru-RU" w:eastAsia="ru-RU"/>
              </w:rPr>
            </w:r>
            <w:r>
              <w:rPr>
                <w:rFonts w:eastAsia="Times New Roman"/>
                <w:b w:val="0"/>
                <w:lang w:val="ru-RU" w:eastAsia="ru-RU"/>
              </w:rPr>
            </w:r>
          </w:p>
        </w:tc>
      </w:tr>
      <w:tr>
        <w:tblPrEx/>
        <w:trPr/>
        <w:tc>
          <w:tcPr>
            <w:tcW w:w="842" w:type="dxa"/>
            <w:vAlign w:val="center"/>
            <w:textDirection w:val="lrTb"/>
            <w:noWrap w:val="false"/>
          </w:tcPr>
          <w:p>
            <w:pPr>
              <w:pStyle w:val="946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gridSpan w:val="3"/>
            <w:tcW w:w="9652" w:type="dxa"/>
            <w:vAlign w:val="center"/>
            <w:textDirection w:val="lrTb"/>
            <w:noWrap w:val="false"/>
          </w:tcPr>
          <w:p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применяемым при выполнении работ оборудованию, материалам, технологиям, программно-аппаратным средствам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618"/>
        </w:trPr>
        <w:tc>
          <w:tcPr>
            <w:tcW w:w="842" w:type="dxa"/>
            <w:vAlign w:val="center"/>
            <w:textDirection w:val="lrTb"/>
            <w:noWrap w:val="false"/>
          </w:tcPr>
          <w:p>
            <w:pPr>
              <w:pStyle w:val="946"/>
              <w:numPr>
                <w:ilvl w:val="2"/>
                <w:numId w:val="8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tcW w:w="2282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Style w:val="1004"/>
                <w:color w:val="auto"/>
              </w:rPr>
              <w:t xml:space="preserve">Требования к применяемому оборудованию, изделиям и материалам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7370" w:type="dxa"/>
            <w:textDirection w:val="lrTb"/>
            <w:noWrap w:val="false"/>
          </w:tcPr>
          <w:p>
            <w:pPr>
              <w:ind w:right="193" w:firstLine="284"/>
              <w:jc w:val="both"/>
              <w:spacing w:line="276" w:lineRule="auto"/>
              <w:tabs>
                <w:tab w:val="left" w:pos="382" w:leader="none"/>
              </w:tabs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sz w:val="24"/>
                <w:szCs w:val="24"/>
              </w:rPr>
              <w:t xml:space="preserve">1. Применяемые в проектных решениях изделия, оборудование и материалы должны соответствовать государственным стандартам, иметь соответствующие сертификаты (в том числе на продукцию, подлежащую обязательной сертификации), технические паспорта и другие </w:t>
            </w:r>
            <w:r>
              <w:rPr>
                <w:sz w:val="24"/>
                <w:szCs w:val="24"/>
              </w:rPr>
              <w:t xml:space="preserve">документы, удостоверяющие их качество и применимость для данных условий эксплуатации.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tabs>
                <w:tab w:val="left" w:pos="0" w:leader="none"/>
              </w:tabs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sz w:val="24"/>
                <w:szCs w:val="24"/>
              </w:rPr>
              <w:t xml:space="preserve">2. Программные продукты, а также отдельные программно-аппаратные средства (системы) в его составе должны иметь соответствующие лицензии.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widowControl w:val="off"/>
              <w:tabs>
                <w:tab w:val="left" w:pos="130" w:leader="none"/>
                <w:tab w:val="left" w:pos="430" w:leader="none"/>
              </w:tabs>
              <w:rPr>
                <w:rStyle w:val="1004"/>
                <w:color w:val="auto"/>
              </w:rPr>
            </w:pPr>
            <w:r>
              <w:rPr>
                <w:sz w:val="24"/>
                <w:szCs w:val="24"/>
              </w:rPr>
              <w:t xml:space="preserve">3. При разработке рабочей и сметной документации предусматривать материалы, изделия и оборудование Российского производства.</w:t>
            </w:r>
            <w:r>
              <w:rPr>
                <w:rStyle w:val="1004"/>
                <w:color w:val="auto"/>
              </w:rPr>
              <w:t xml:space="preserve"> </w:t>
            </w:r>
            <w:r>
              <w:rPr>
                <w:rStyle w:val="1004"/>
                <w:color w:val="auto"/>
              </w:rPr>
            </w:r>
            <w:r>
              <w:rPr>
                <w:rStyle w:val="1004"/>
                <w:color w:val="auto"/>
              </w:rPr>
            </w:r>
          </w:p>
          <w:p>
            <w:pPr>
              <w:ind w:right="193" w:firstLine="284"/>
              <w:jc w:val="both"/>
              <w:spacing w:line="276" w:lineRule="auto"/>
              <w:tabs>
                <w:tab w:val="left" w:pos="43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Электролизная установка должна работать без применения щелочных растворов (КОН и </w:t>
            </w:r>
            <w:r>
              <w:rPr>
                <w:sz w:val="24"/>
                <w:szCs w:val="24"/>
              </w:rPr>
              <w:t xml:space="preserve">NaOH</w:t>
            </w:r>
            <w:r>
              <w:rPr>
                <w:sz w:val="24"/>
                <w:szCs w:val="24"/>
              </w:rPr>
              <w:t xml:space="preserve">).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tabs>
                <w:tab w:val="left" w:pos="43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  В качестве электролита должен использоваться твердый полимерный материал.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tabs>
                <w:tab w:val="left" w:pos="43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Давление производимого водорода до 15 кгс/см</w:t>
            </w:r>
            <w:r>
              <w:rPr>
                <w:sz w:val="24"/>
                <w:szCs w:val="24"/>
                <w:vertAlign w:val="superscript"/>
              </w:rPr>
              <w:t xml:space="preserve">2</w:t>
            </w:r>
            <w:r>
              <w:rPr>
                <w:sz w:val="24"/>
                <w:szCs w:val="24"/>
              </w:rPr>
              <w:t xml:space="preserve"> включительно с последующим редуцированием до рабочего давления 10 кгс/см</w:t>
            </w:r>
            <w:r>
              <w:rPr>
                <w:sz w:val="24"/>
                <w:szCs w:val="24"/>
                <w:vertAlign w:val="superscript"/>
              </w:rPr>
              <w:t xml:space="preserve">2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tabs>
                <w:tab w:val="left" w:pos="43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Давление кислорода 1,7 кгс/см</w:t>
            </w:r>
            <w:r>
              <w:rPr>
                <w:sz w:val="24"/>
                <w:szCs w:val="24"/>
                <w:vertAlign w:val="superscript"/>
              </w:rPr>
              <w:t xml:space="preserve">2</w:t>
            </w:r>
            <w:r>
              <w:rPr>
                <w:sz w:val="24"/>
                <w:szCs w:val="24"/>
              </w:rPr>
              <w:t xml:space="preserve"> с последующей вентиляцией в атмосферу.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tabs>
                <w:tab w:val="left" w:pos="43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 Производительность установки (по водороду) 6 м</w:t>
            </w:r>
            <w:r>
              <w:rPr>
                <w:sz w:val="24"/>
                <w:szCs w:val="24"/>
                <w:vertAlign w:val="superscript"/>
              </w:rPr>
              <w:t xml:space="preserve">3</w:t>
            </w:r>
            <w:r>
              <w:rPr>
                <w:sz w:val="24"/>
                <w:szCs w:val="24"/>
              </w:rPr>
              <w:t xml:space="preserve">/час.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tabs>
                <w:tab w:val="left" w:pos="43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Чистота водорода (по кислороду) не ниже 99,5%.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tabs>
                <w:tab w:val="left" w:pos="43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Температура точки росы не выше - 5</w:t>
            </w:r>
            <w:r>
              <w:rPr>
                <w:sz w:val="24"/>
                <w:szCs w:val="24"/>
                <w:vertAlign w:val="superscript"/>
              </w:rPr>
              <w:t xml:space="preserve">о</w:t>
            </w:r>
            <w:r>
              <w:rPr>
                <w:sz w:val="24"/>
                <w:szCs w:val="24"/>
              </w:rPr>
              <w:t xml:space="preserve">С.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tabs>
                <w:tab w:val="left" w:pos="57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 Электролизная установка должна быть оснащена штатным прибором замера точки росы.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tabs>
                <w:tab w:val="left" w:pos="57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12. Электролизная установка должна быть оснащена штатным прибором замера содержания кислорода в водороде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13.    Рабочая температура - ≤ 58 </w:t>
            </w:r>
            <w:r>
              <w:rPr>
                <w:color w:val="000000"/>
                <w:sz w:val="24"/>
                <w:szCs w:val="24"/>
                <w:vertAlign w:val="superscript"/>
              </w:rPr>
              <w:t xml:space="preserve">о</w:t>
            </w:r>
            <w:r>
              <w:rPr>
                <w:color w:val="000000"/>
                <w:sz w:val="24"/>
                <w:szCs w:val="24"/>
              </w:rPr>
              <w:t xml:space="preserve">С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tabs>
                <w:tab w:val="left" w:pos="57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  Исполнение в контейнере (в контейнерах).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tabs>
                <w:tab w:val="left" w:pos="57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  Климатические условия, +40…-40</w:t>
            </w:r>
            <w:r>
              <w:rPr>
                <w:sz w:val="24"/>
                <w:szCs w:val="24"/>
                <w:vertAlign w:val="superscript"/>
              </w:rPr>
              <w:t xml:space="preserve">о</w:t>
            </w:r>
            <w:r>
              <w:rPr>
                <w:sz w:val="24"/>
                <w:szCs w:val="24"/>
              </w:rPr>
              <w:t xml:space="preserve">С;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tabs>
                <w:tab w:val="left" w:pos="57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16. В электрической цепи электролизной установки должен применяться инвертор (отсутствие в цепи разделительного трансформатора).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tabs>
                <w:tab w:val="left" w:pos="57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17. Полностью автоматизированное производство, не требующее постоянного присутствия персонала. Установка должна автоматически заполнять </w:t>
            </w:r>
            <w:r>
              <w:rPr>
                <w:sz w:val="24"/>
                <w:szCs w:val="24"/>
              </w:rPr>
              <w:t xml:space="preserve">ресиверную</w:t>
            </w:r>
            <w:r>
              <w:rPr>
                <w:sz w:val="24"/>
                <w:szCs w:val="24"/>
              </w:rPr>
              <w:t xml:space="preserve"> группу, при достижении заданного давления в ресиверах, установка должна автоматически переходить в </w:t>
            </w:r>
            <w:r>
              <w:rPr>
                <w:sz w:val="24"/>
                <w:szCs w:val="24"/>
              </w:rPr>
              <w:t xml:space="preserve">энергоэффективный</w:t>
            </w:r>
            <w:r>
              <w:rPr>
                <w:sz w:val="24"/>
                <w:szCs w:val="24"/>
              </w:rPr>
              <w:t xml:space="preserve"> режим ожидания, отслеживания показания давления в ресиверах, при достижении нижней границы заданного параметра, установка должна автоматически включиться и заполнить ресивер.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tabs>
                <w:tab w:val="left" w:pos="572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18. Электролизная установка должна обеспечивать </w:t>
            </w:r>
            <w:r>
              <w:rPr>
                <w:color w:val="000000"/>
                <w:sz w:val="24"/>
                <w:szCs w:val="24"/>
              </w:rPr>
              <w:t xml:space="preserve">сбор и сброс образующегося в установке конденсата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tabs>
                <w:tab w:val="left" w:pos="57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19. Отсутствие в установках асбеста (высокотоксичного вещества) и щелочи.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tabs>
                <w:tab w:val="left" w:pos="57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20. Материал корпуса ячеек – нержавеющая сталь.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tabs>
                <w:tab w:val="left" w:pos="57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21. Все сосуды и трубопроводы электролизной установки должны быть изготовлены из коррозионностойкой нержавеющей стали.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tabs>
                <w:tab w:val="left" w:pos="57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22. Установка должна быть работоспособна до 99% времени в году.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tabs>
                <w:tab w:val="left" w:pos="57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23. Наличие аварийного кнопочного отключения электролизной установки.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tabs>
                <w:tab w:val="left" w:pos="57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24.  Установка должна обеспечивать быстрый пуск и возможность автоматического регулирования нагрузки (от 0 до 100% номинальной мощности).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tabs>
                <w:tab w:val="left" w:pos="57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25.  Максимально допустимое содержание водорода в генераторе при 100% производительности должно быть менее 0,2 Нм</w:t>
            </w:r>
            <w:r>
              <w:rPr>
                <w:sz w:val="24"/>
                <w:szCs w:val="24"/>
                <w:vertAlign w:val="superscript"/>
              </w:rPr>
              <w:t xml:space="preserve">3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tabs>
                <w:tab w:val="left" w:pos="57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26.    Наличие датчика содержания водорода в атмосфере для выключения электролизеров при достижении 25% от НПВ, защита от утечек водорода.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tabs>
                <w:tab w:val="left" w:pos="57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27.   Наличие датчика содержания водорода в кислороде для выключения электролизеров при достижении 25% от НПВ, защита от повышения содержания водорода в кислороде.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tabs>
                <w:tab w:val="left" w:pos="57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28.  Система должна работать с технологией разности давлений (15 бар – водород, 1,7 бар — кислород), для обеспечения безопасности электролиза и предупреждения таких рисков как: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17"/>
              </w:numPr>
              <w:ind w:left="0" w:right="193" w:firstLine="284"/>
              <w:jc w:val="both"/>
              <w:spacing w:line="276" w:lineRule="auto"/>
              <w:tabs>
                <w:tab w:val="left" w:pos="43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взрыв кислорода в среде водород;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17"/>
              </w:numPr>
              <w:ind w:left="0" w:right="193" w:firstLine="284"/>
              <w:jc w:val="both"/>
              <w:spacing w:line="276" w:lineRule="auto"/>
              <w:tabs>
                <w:tab w:val="left" w:pos="43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взрыв кислорода под давлением.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29. Водородный генератор должен быть рассчитан на предполагаемые ударные и вибрационные нагрузки, а также на воздействие окружающих температур во время транспортировки к месту установки и эксплуатации.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30. Должны быть предусмотрены средства, обеспечивающие безопасное обращение с водородным генератором во время операций подъема, перемещения и установки.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31.  Водородный генератор должен проектироваться таким образом, чтобы он оставался устойчивым в процессе воздействия на него нормальных рабочих условий, связанных с работой операторов или окружающей средой во время установки или эксплуатации.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tabs>
                <w:tab w:val="left" w:pos="57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32. Конструкция водородного генератора должна учитывать требования, установленные в стандарте ИСО 12100.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tabs>
                <w:tab w:val="left" w:pos="57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33. Ручные средства управления должны быть четко обозначены и спроектированы таким образом, чтобы предотвратить возможность случайного изменения их регулировок.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tabs>
                <w:tab w:val="left" w:pos="57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34. Все элементы конструкции должны быть защищены от климатических и других внешних воздействий в процессе работы.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tabs>
                <w:tab w:val="left" w:pos="57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35. Детали должны иметь конструкцию, обеспечивающую их защиту от смещения, искривления, скручивания или другого повреждения, которое может повлиять на работоспособность.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tabs>
                <w:tab w:val="left" w:pos="57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36. Узлы конструкции, к которым возможно прикосновение во время нормальной эксплуатации, проведения регулировки или обслуживания, не должны иметь острых выступов или ребер.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tabs>
                <w:tab w:val="left" w:pos="57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37. Детали, которые требуют регулярного или повседневного технического обслуживания или ухода, связанного с проверкой работоспособности, смазкой, очисткой, заменой или с осуществлением аналогичных функций, должны быть доступны.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tabs>
                <w:tab w:val="left" w:pos="57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38. Подвижные элементы конструкции и детали, содержащие жидкость, должны быть спроектированы и смонтированы таким образом, чтобы на всех режимах работы выброс и расплескивание жидкости были исключены.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tabs>
                <w:tab w:val="left" w:pos="57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39. Вентиляционные отверстия должны иметь конструкцию, при которой они не закрывались бы во время нормальной работы оборудования.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tabs>
                <w:tab w:val="left" w:pos="57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40. Панели доступа, крышки или двери должны открываться с использованием специального инструмента, ключа или аналогичных механических устройств.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tabs>
                <w:tab w:val="left" w:pos="57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41. Опорная конструкция и кожух водородного генератора должны иметь прочность, жесткость, долговечность, коррозионную устойчивость и </w:t>
            </w:r>
            <w:r>
              <w:rPr>
                <w:sz w:val="24"/>
                <w:szCs w:val="24"/>
              </w:rPr>
              <w:t xml:space="preserve">другие параметры для обеспечения безопасной работы</w:t>
            </w:r>
            <w:r>
              <w:rPr>
                <w:sz w:val="24"/>
                <w:szCs w:val="24"/>
              </w:rPr>
              <w:t xml:space="preserve"> и защиты всех компонентов конструкции и выдерживать механические нагрузки и удары </w:t>
            </w:r>
            <w:r>
              <w:rPr>
                <w:sz w:val="24"/>
                <w:szCs w:val="24"/>
              </w:rPr>
              <w:t xml:space="preserve">во время транспортировки, установки и эксплуатации водородного генератора.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tabs>
                <w:tab w:val="left" w:pos="57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42. Электрические кожухи должны удовлетворять требованиям стандарта МЭК 60204-1.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tabs>
                <w:tab w:val="left" w:pos="57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43. Обеспечение возможности отбора газа для проведения его химического анализа.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tabs>
                <w:tab w:val="left" w:pos="572" w:leader="none"/>
              </w:tabs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</w:rPr>
              <w:t xml:space="preserve">44. </w:t>
            </w:r>
            <w:r>
              <w:rPr>
                <w:sz w:val="24"/>
                <w:szCs w:val="24"/>
                <w:lang w:val="fr-FR"/>
              </w:rPr>
              <w:t xml:space="preserve">Материалы, используемые в водородном генераторе, должны быть специально подобраны для использования в рабочей среде</w:t>
            </w:r>
            <w:r>
              <w:rPr>
                <w:sz w:val="24"/>
                <w:szCs w:val="24"/>
              </w:rPr>
              <w:t xml:space="preserve"> водорода</w:t>
            </w:r>
            <w:r>
              <w:rPr>
                <w:sz w:val="24"/>
                <w:szCs w:val="24"/>
                <w:lang w:val="fr-FR"/>
              </w:rPr>
              <w:t xml:space="preserve">.</w:t>
            </w:r>
            <w:r>
              <w:rPr>
                <w:sz w:val="24"/>
                <w:szCs w:val="24"/>
                <w:lang w:val="fr-FR"/>
              </w:rPr>
            </w:r>
            <w:r>
              <w:rPr>
                <w:sz w:val="24"/>
                <w:szCs w:val="24"/>
                <w:lang w:val="fr-FR"/>
              </w:rPr>
            </w:r>
          </w:p>
          <w:p>
            <w:pPr>
              <w:ind w:right="193" w:firstLine="284"/>
              <w:jc w:val="both"/>
              <w:spacing w:line="276" w:lineRule="auto"/>
              <w:tabs>
                <w:tab w:val="left" w:pos="57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45. </w:t>
            </w:r>
            <w:r>
              <w:rPr>
                <w:sz w:val="24"/>
                <w:szCs w:val="24"/>
                <w:lang w:val="fr-FR"/>
              </w:rPr>
              <w:t xml:space="preserve">Все элементы водородного генератора и все материалы должны: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соответствовать условиям работы генератора по температуре и давлению;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быть устойчивыми к физико-химическим процессам и другим воздействиям, которые могут иметь место в процессе предполагаемого использования;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быть пригодными для своего назначения;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соответствовать требованиям по надежности в пределах номинальных характеристик и в соответствии с инструкциями изготовителя.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tabs>
                <w:tab w:val="left" w:pos="57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46. </w:t>
            </w:r>
            <w:r>
              <w:rPr>
                <w:sz w:val="24"/>
                <w:szCs w:val="24"/>
                <w:lang w:val="fr-FR"/>
              </w:rPr>
              <w:t xml:space="preserve">Внутренние и внешние элементы водородного генератора, которые непо</w:t>
            </w:r>
            <w:r>
              <w:rPr>
                <w:sz w:val="24"/>
                <w:szCs w:val="24"/>
                <w:lang w:val="fr-FR"/>
              </w:rPr>
              <w:t xml:space="preserve">средственно подвергаются воздействию влаги, среды переноса ионов, технологического водорода или кислорода, а также детали, используемые для уплотнения или соединения, должны обладать следующими свойствами в течение определенного изготовителем срока службы: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tabs>
                <w:tab w:val="left" w:pos="43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сохранять механическую прочность (усталостные свойства, пределы упругости, сопротивления ползучести) при воздействии всего диапазона рабочих условий;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tabs>
                <w:tab w:val="left" w:pos="43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выдерживать физико-химическое воздействие рабочих жидкостей и других веществ, а также обладать устойчивостью к воздействию изменяющихся внешних условий;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tabs>
                <w:tab w:val="left" w:pos="43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быть совместимыми с любыми другими используемыми материалами, чтобы исключить нежелательные взаимодействия.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tabs>
                <w:tab w:val="left" w:pos="57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47. При выборе материалов и способов изготовления надлежащее внимание должно уделяться: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водородной коррозии;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совместимости с кислородом;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стойкости к коррозии и износу;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электропроводности;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ударной прочности;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стойкости к старению;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температурным воздействиям;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гальванической коррозии;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эрозии, коррозии или другому химическому воздействию;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стойкости к ультрафиолетовому излучению.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tabs>
                <w:tab w:val="left" w:pos="572" w:leader="none"/>
              </w:tabs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</w:rPr>
              <w:t xml:space="preserve">48. </w:t>
            </w:r>
            <w:r>
              <w:rPr>
                <w:sz w:val="24"/>
                <w:szCs w:val="24"/>
                <w:lang w:val="fr-FR"/>
              </w:rPr>
              <w:t xml:space="preserve">Температура самовоспламенения любых материалов, используемых совместно с кислородом, при всех условиях должна быть выше максимальной рабочей температуры технологического процесса, в котором они применяются.</w:t>
            </w:r>
            <w:r>
              <w:rPr>
                <w:sz w:val="24"/>
                <w:szCs w:val="24"/>
                <w:lang w:val="fr-FR"/>
              </w:rPr>
            </w:r>
            <w:r>
              <w:rPr>
                <w:sz w:val="24"/>
                <w:szCs w:val="24"/>
                <w:lang w:val="fr-FR"/>
              </w:rPr>
            </w:r>
          </w:p>
          <w:p>
            <w:pPr>
              <w:ind w:right="193" w:firstLine="284"/>
              <w:jc w:val="both"/>
              <w:spacing w:line="276" w:lineRule="auto"/>
              <w:tabs>
                <w:tab w:val="left" w:pos="572" w:leader="none"/>
              </w:tabs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49. </w:t>
            </w:r>
            <w:r>
              <w:rPr>
                <w:sz w:val="24"/>
                <w:szCs w:val="24"/>
                <w:lang w:val="fr-FR"/>
              </w:rPr>
              <w:t xml:space="preserve">Технологические трубопроводы и емкости, содержащие кислород, должны иметь чистоту в соответствии с МЭК/ТР 60877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  <w:u w:val="single"/>
              </w:rPr>
            </w:r>
            <w:r>
              <w:rPr>
                <w:sz w:val="24"/>
                <w:szCs w:val="24"/>
                <w:u w:val="single"/>
              </w:rPr>
            </w:r>
          </w:p>
          <w:p>
            <w:pPr>
              <w:ind w:right="193" w:firstLine="284"/>
              <w:jc w:val="both"/>
              <w:spacing w:line="276" w:lineRule="auto"/>
              <w:tabs>
                <w:tab w:val="left" w:pos="572" w:leader="none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50. Объем оснащ</w:t>
            </w:r>
            <w:r>
              <w:rPr>
                <w:sz w:val="24"/>
                <w:szCs w:val="24"/>
                <w:lang w:eastAsia="en-US"/>
              </w:rPr>
              <w:t xml:space="preserve">ения генераторов водорода средствами измерений (датчиками, измерительными каналами), средствами автоматизации должен быть достаточным для обеспечения режима её работы, выполнения измерений основных параметров и контроля технического состояния оборудования.</w:t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ind w:right="193" w:firstLine="284"/>
              <w:jc w:val="both"/>
              <w:spacing w:line="276" w:lineRule="auto"/>
              <w:tabs>
                <w:tab w:val="left" w:pos="572" w:leader="none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51. Изготовитель должен обеспечить соответствие выбора, установ</w:t>
            </w:r>
            <w:r>
              <w:rPr>
                <w:sz w:val="24"/>
                <w:szCs w:val="24"/>
                <w:lang w:eastAsia="en-US"/>
              </w:rPr>
              <w:t xml:space="preserve">ки, использования и технического обслуживания детекторов газообразного водорода стандарту МЭК 60079-292. Детекторы должны устанавливаться в местах для эффективного обнаружения наличия газообразного водорода и иметь возможность проверки их защитной функции.</w:t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    52. Все системы и оборудование, работающие под давлением, должны быть защищены от чрезмерно высокого давления предохранительными устройствами.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1"/>
              <w:keepNext w:val="0"/>
              <w:rPr>
                <w:rFonts w:eastAsia="Times New Roman"/>
                <w:b w:val="0"/>
                <w:lang w:val="ru-RU" w:eastAsia="ru-RU"/>
              </w:rPr>
              <w:outlineLvl w:val="2"/>
            </w:pPr>
            <w:r>
              <w:rPr>
                <w:rFonts w:eastAsia="Times New Roman"/>
                <w:b w:val="0"/>
                <w:lang w:val="ru-RU" w:eastAsia="ru-RU"/>
              </w:rPr>
              <w:t xml:space="preserve">-</w:t>
            </w:r>
            <w:r>
              <w:rPr>
                <w:rFonts w:eastAsia="Times New Roman"/>
                <w:b w:val="0"/>
                <w:lang w:val="ru-RU" w:eastAsia="ru-RU"/>
              </w:rPr>
            </w:r>
            <w:r>
              <w:rPr>
                <w:rFonts w:eastAsia="Times New Roman"/>
                <w:b w:val="0"/>
                <w:lang w:val="ru-RU" w:eastAsia="ru-RU"/>
              </w:rPr>
            </w:r>
          </w:p>
        </w:tc>
      </w:tr>
      <w:tr>
        <w:tblPrEx/>
        <w:trPr/>
        <w:tc>
          <w:tcPr>
            <w:tcW w:w="842" w:type="dxa"/>
            <w:vAlign w:val="center"/>
            <w:textDirection w:val="lrTb"/>
            <w:noWrap w:val="false"/>
          </w:tcPr>
          <w:p>
            <w:pPr>
              <w:pStyle w:val="946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gridSpan w:val="3"/>
            <w:tcW w:w="965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персоналу подрядчика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42" w:type="dxa"/>
            <w:vAlign w:val="center"/>
            <w:textDirection w:val="lrTb"/>
            <w:noWrap w:val="false"/>
          </w:tcPr>
          <w:p>
            <w:pPr>
              <w:pStyle w:val="946"/>
              <w:numPr>
                <w:ilvl w:val="2"/>
                <w:numId w:val="8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tcW w:w="2282" w:type="dxa"/>
            <w:vAlign w:val="center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Квалификация персонала подрядчика, привлекаемого к выполнению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2"/>
            <w:tcW w:w="7370" w:type="dxa"/>
            <w:vAlign w:val="center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Выполнять</w:t>
            </w:r>
            <w:r>
              <w:rPr>
                <w:bCs/>
                <w:sz w:val="24"/>
                <w:szCs w:val="24"/>
              </w:rPr>
              <w:t xml:space="preserve"> Работы силами квалифицированных специалистов, прошедших соответствующую подготовку, квалификация, опыт и компетенция которых позволяет обеспечить надлежащее и качественное выполнение Работ.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42" w:type="dxa"/>
            <w:vAlign w:val="center"/>
            <w:textDirection w:val="lrTb"/>
            <w:noWrap w:val="false"/>
          </w:tcPr>
          <w:p>
            <w:pPr>
              <w:pStyle w:val="946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gridSpan w:val="3"/>
            <w:tcW w:w="9652" w:type="dxa"/>
            <w:vAlign w:val="center"/>
            <w:textDirection w:val="lrTb"/>
            <w:noWrap w:val="false"/>
          </w:tcPr>
          <w:p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безопасности работ и охране труда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42" w:type="dxa"/>
            <w:vAlign w:val="center"/>
            <w:textDirection w:val="lrTb"/>
            <w:noWrap w:val="false"/>
          </w:tcPr>
          <w:p>
            <w:pPr>
              <w:pStyle w:val="946"/>
              <w:numPr>
                <w:ilvl w:val="2"/>
                <w:numId w:val="8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tcW w:w="2282" w:type="dxa"/>
            <w:vAlign w:val="center"/>
            <w:textDirection w:val="lrTb"/>
            <w:noWrap w:val="false"/>
          </w:tcPr>
          <w:p>
            <w:pPr>
              <w:pStyle w:val="946"/>
              <w:ind w:left="0"/>
            </w:pPr>
            <w:r>
              <w:t xml:space="preserve">Требования к безопасности выполняемых работ</w:t>
            </w:r>
            <w:r/>
          </w:p>
        </w:tc>
        <w:tc>
          <w:tcPr>
            <w:gridSpan w:val="2"/>
            <w:tcW w:w="7370" w:type="dxa"/>
            <w:vAlign w:val="center"/>
            <w:textDirection w:val="lrTb"/>
            <w:noWrap w:val="false"/>
          </w:tcPr>
          <w:p>
            <w:pPr>
              <w:pStyle w:val="946"/>
              <w:ind w:left="0"/>
            </w:pPr>
            <w:r>
              <w:rPr>
                <w:bCs/>
              </w:rPr>
              <w:t xml:space="preserve">Провести инструктаж персонала, задействованного при выполнении Работ на территории Заказчика, обеспечить соблюдение (в том числе указа</w:t>
            </w:r>
            <w:r>
              <w:rPr>
                <w:bCs/>
              </w:rPr>
              <w:t xml:space="preserve">нным персоналом) правил эксплуатации электроустановок, требований охраны труда, пожарной и промышленной безопасности, экологических, санитарных требований и правил, а также иных нормативных правовых актов и требований локальных нормативных актов Заказчика.</w:t>
            </w:r>
            <w:r/>
          </w:p>
        </w:tc>
        <w:tc>
          <w:tcPr>
            <w:tcW w:w="212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42" w:type="dxa"/>
            <w:vAlign w:val="center"/>
            <w:textDirection w:val="lrTb"/>
            <w:noWrap w:val="false"/>
          </w:tcPr>
          <w:p>
            <w:pPr>
              <w:pStyle w:val="946"/>
              <w:numPr>
                <w:ilvl w:val="0"/>
                <w:numId w:val="8"/>
              </w:numPr>
              <w:jc w:val="center"/>
              <w:spacing w:before="60" w:after="60"/>
            </w:pPr>
            <w:r/>
            <w:r/>
          </w:p>
        </w:tc>
        <w:tc>
          <w:tcPr>
            <w:gridSpan w:val="3"/>
            <w:tcW w:w="9652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результатам работ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42" w:type="dxa"/>
            <w:vAlign w:val="center"/>
            <w:textDirection w:val="lrTb"/>
            <w:noWrap w:val="false"/>
          </w:tcPr>
          <w:p>
            <w:pPr>
              <w:pStyle w:val="946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gridSpan w:val="3"/>
            <w:tcW w:w="9652" w:type="dxa"/>
            <w:vAlign w:val="center"/>
            <w:textDirection w:val="lrTb"/>
            <w:noWrap w:val="false"/>
          </w:tcPr>
          <w:p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Общие требования к результатам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42" w:type="dxa"/>
            <w:vAlign w:val="center"/>
            <w:textDirection w:val="lrTb"/>
            <w:noWrap w:val="false"/>
          </w:tcPr>
          <w:p>
            <w:pPr>
              <w:pStyle w:val="946"/>
              <w:numPr>
                <w:ilvl w:val="2"/>
                <w:numId w:val="8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gridSpan w:val="3"/>
            <w:tcW w:w="9652" w:type="dxa"/>
            <w:textDirection w:val="lrTb"/>
            <w:noWrap w:val="false"/>
          </w:tcPr>
          <w:p>
            <w:pPr>
              <w:ind w:left="72"/>
              <w:jc w:val="both"/>
              <w:tabs>
                <w:tab w:val="num" w:pos="432" w:leader="none"/>
                <w:tab w:val="left" w:pos="459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Общие требования по вариантной разработке проекта: не требуется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42" w:type="dxa"/>
            <w:vAlign w:val="center"/>
            <w:textDirection w:val="lrTb"/>
            <w:noWrap w:val="false"/>
          </w:tcPr>
          <w:p>
            <w:pPr>
              <w:ind w:left="720"/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82" w:type="dxa"/>
            <w:textDirection w:val="lrTb"/>
            <w:noWrap w:val="false"/>
          </w:tcPr>
          <w:p>
            <w:pPr>
              <w:ind w:right="193" w:firstLine="0"/>
              <w:jc w:val="both"/>
              <w:spacing w:line="276" w:lineRule="auto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sz w:val="24"/>
                <w:szCs w:val="24"/>
              </w:rPr>
              <w:t xml:space="preserve">Требования к составу разрабатываемой документации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7370" w:type="dxa"/>
            <w:textDirection w:val="lrTb"/>
            <w:noWrap w:val="false"/>
          </w:tcPr>
          <w:p>
            <w:pPr>
              <w:jc w:val="both"/>
              <w:spacing w:line="276" w:lineRule="auto"/>
              <w:shd w:val="clear" w:color="auto" w:fill="ffffff"/>
              <w:tabs>
                <w:tab w:val="left" w:pos="1361" w:leader="none"/>
              </w:tabs>
            </w:pPr>
            <w:r>
              <w:rPr>
                <w:spacing w:val="-5"/>
                <w:sz w:val="24"/>
                <w:szCs w:val="24"/>
                <w:lang w:bidi="ru-RU"/>
              </w:rPr>
              <w:t xml:space="preserve">- рабочую документацию согласовать в требуемом объеме с СП «</w:t>
            </w:r>
            <w:r>
              <w:rPr>
                <w:spacing w:val="-5"/>
                <w:sz w:val="24"/>
                <w:szCs w:val="24"/>
                <w:lang w:bidi="ru-RU"/>
              </w:rPr>
              <w:t xml:space="preserve">Артемовская ТЭЦ</w:t>
            </w:r>
            <w:r>
              <w:rPr>
                <w:spacing w:val="-5"/>
                <w:sz w:val="24"/>
                <w:szCs w:val="24"/>
                <w:lang w:bidi="ru-RU"/>
              </w:rPr>
              <w:t xml:space="preserve">».</w:t>
            </w:r>
            <w:r>
              <w:t xml:space="preserve"> </w:t>
            </w:r>
            <w:r/>
          </w:p>
          <w:p>
            <w:pPr>
              <w:jc w:val="both"/>
              <w:spacing w:line="276" w:lineRule="auto"/>
              <w:shd w:val="clear" w:color="auto" w:fill="ffffff"/>
              <w:tabs>
                <w:tab w:val="left" w:pos="1361" w:leader="none"/>
              </w:tabs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 xml:space="preserve">- состав разделов, их объем должен соответствовать требованиям ГОСТ Р 21.101-20</w:t>
            </w:r>
            <w:r>
              <w:rPr>
                <w:spacing w:val="-5"/>
                <w:sz w:val="24"/>
                <w:szCs w:val="24"/>
                <w:lang w:bidi="ru-RU"/>
              </w:rPr>
              <w:t xml:space="preserve">26</w:t>
            </w:r>
            <w:r>
              <w:rPr>
                <w:spacing w:val="-5"/>
                <w:sz w:val="24"/>
                <w:szCs w:val="24"/>
                <w:lang w:bidi="ru-RU"/>
              </w:rPr>
              <w:t xml:space="preserve"> «Система проектной документации для </w:t>
            </w:r>
            <w:r>
              <w:rPr>
                <w:spacing w:val="-5"/>
                <w:sz w:val="24"/>
                <w:szCs w:val="24"/>
                <w:lang w:bidi="ru-RU"/>
              </w:rPr>
              <w:t xml:space="preserve">строительства. Основные требования к проек</w:t>
            </w:r>
            <w:r>
              <w:rPr>
                <w:spacing w:val="-5"/>
                <w:sz w:val="24"/>
                <w:szCs w:val="24"/>
                <w:lang w:bidi="ru-RU"/>
              </w:rPr>
              <w:t xml:space="preserve">тной и рабочей документации», Постановлению Правительства Российской Федерации № 87 от 16.02.2008 «О составе разделов проектной документации и требованиях к их содержанию». Состав разделов, их объем должен также соответствовать требованиям ГОСТ Р 21.101-20</w:t>
            </w:r>
            <w:r>
              <w:rPr>
                <w:spacing w:val="-5"/>
                <w:sz w:val="24"/>
                <w:szCs w:val="24"/>
                <w:lang w:bidi="ru-RU"/>
              </w:rPr>
              <w:t xml:space="preserve">26</w:t>
            </w:r>
            <w:r>
              <w:rPr>
                <w:spacing w:val="-5"/>
                <w:sz w:val="24"/>
                <w:szCs w:val="24"/>
                <w:lang w:bidi="ru-RU"/>
              </w:rPr>
              <w:t xml:space="preserve"> «Система проектной документации для строительства. Основные требования к проектной и рабочей документации» по проектированию и соответствовать разделам проектной документации.</w:t>
            </w:r>
            <w:r>
              <w:rPr>
                <w:spacing w:val="-5"/>
                <w:sz w:val="24"/>
                <w:szCs w:val="24"/>
                <w:lang w:bidi="ru-RU"/>
              </w:rPr>
            </w:r>
            <w:r>
              <w:rPr>
                <w:spacing w:val="-5"/>
                <w:sz w:val="24"/>
                <w:szCs w:val="24"/>
                <w:lang w:bidi="ru-RU"/>
              </w:rPr>
            </w:r>
          </w:p>
          <w:p>
            <w:pPr>
              <w:ind w:right="193"/>
              <w:jc w:val="both"/>
              <w:spacing w:line="276" w:lineRule="auto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spacing w:val="-5"/>
                <w:sz w:val="24"/>
                <w:szCs w:val="24"/>
                <w:lang w:bidi="ru-RU"/>
              </w:rPr>
              <w:t xml:space="preserve">- в составе РД разработать сметную документацию в объем сводной и локальных смет в текущих ценах</w:t>
            </w:r>
            <w:r>
              <w:rPr>
                <w:spacing w:val="-5"/>
                <w:sz w:val="24"/>
                <w:szCs w:val="24"/>
                <w:lang w:bidi="ru-RU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42" w:type="dxa"/>
            <w:vAlign w:val="center"/>
            <w:textDirection w:val="lrTb"/>
            <w:noWrap w:val="false"/>
          </w:tcPr>
          <w:p>
            <w:pPr>
              <w:pStyle w:val="946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gridSpan w:val="3"/>
            <w:tcW w:w="9652" w:type="dxa"/>
            <w:vAlign w:val="center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порядку приемки результатов работ</w:t>
            </w:r>
            <w:r>
              <w:rPr>
                <w:rStyle w:val="977"/>
                <w:b w:val="0"/>
                <w:bCs/>
                <w:i w:val="0"/>
                <w:sz w:val="24"/>
                <w:szCs w:val="24"/>
                <w:shd w:val="clear" w:color="auto" w:fill="auto"/>
              </w:rPr>
              <w:t xml:space="preserve"> 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42" w:type="dxa"/>
            <w:vAlign w:val="center"/>
            <w:textDirection w:val="lrTb"/>
            <w:noWrap w:val="false"/>
          </w:tcPr>
          <w:p>
            <w:pPr>
              <w:pStyle w:val="946"/>
              <w:numPr>
                <w:ilvl w:val="2"/>
                <w:numId w:val="8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gridSpan w:val="3"/>
            <w:tcW w:w="9652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Подробно указаны в проекте договора подряда, который включен в состав  Документации о закупке.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42" w:type="dxa"/>
            <w:vAlign w:val="center"/>
            <w:textDirection w:val="lrTb"/>
            <w:noWrap w:val="false"/>
          </w:tcPr>
          <w:p>
            <w:pPr>
              <w:pStyle w:val="946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gridSpan w:val="3"/>
            <w:tcW w:w="9652" w:type="dxa"/>
            <w:vAlign w:val="center"/>
            <w:textDirection w:val="lrTb"/>
            <w:noWrap w:val="false"/>
          </w:tcPr>
          <w:p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оформлению документации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42" w:type="dxa"/>
            <w:vAlign w:val="center"/>
            <w:textDirection w:val="lrTb"/>
            <w:noWrap w:val="false"/>
          </w:tcPr>
          <w:p>
            <w:pPr>
              <w:pStyle w:val="946"/>
              <w:numPr>
                <w:ilvl w:val="2"/>
                <w:numId w:val="8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tcW w:w="2282" w:type="dxa"/>
            <w:textDirection w:val="lrTb"/>
            <w:noWrap w:val="false"/>
          </w:tcPr>
          <w:p>
            <w:pPr>
              <w:ind w:right="33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Документация, выдаваемая 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 xml:space="preserve">заказчику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2"/>
            <w:tcW w:w="7370" w:type="dxa"/>
            <w:textDirection w:val="lrTb"/>
            <w:noWrap w:val="false"/>
          </w:tcPr>
          <w:p>
            <w:pPr>
              <w:ind w:right="193" w:firstLine="284"/>
              <w:jc w:val="bot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Проектная, рабочая и сметная документация.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Документация выдается заказчику в трех экземплярах в бумажном виде и один в электронном на </w:t>
            </w:r>
            <w:r>
              <w:rPr>
                <w:sz w:val="24"/>
                <w:szCs w:val="24"/>
                <w:lang w:val="en-US"/>
              </w:rPr>
              <w:t xml:space="preserve">USB</w:t>
            </w:r>
            <w:r>
              <w:rPr>
                <w:sz w:val="24"/>
                <w:szCs w:val="24"/>
              </w:rPr>
              <w:t xml:space="preserve"> носителе.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Формат передаваемой в электронном виде документации: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текстовая часть – </w:t>
            </w:r>
            <w:r>
              <w:rPr>
                <w:sz w:val="24"/>
                <w:szCs w:val="24"/>
              </w:rPr>
              <w:t xml:space="preserve">doc</w:t>
            </w:r>
            <w:r>
              <w:rPr>
                <w:sz w:val="24"/>
                <w:szCs w:val="24"/>
              </w:rPr>
              <w:t xml:space="preserve"> (MS </w:t>
            </w:r>
            <w:r>
              <w:rPr>
                <w:sz w:val="24"/>
                <w:szCs w:val="24"/>
              </w:rPr>
              <w:t xml:space="preserve">Word</w:t>
            </w:r>
            <w:r>
              <w:rPr>
                <w:sz w:val="24"/>
                <w:szCs w:val="24"/>
              </w:rPr>
              <w:t xml:space="preserve">), </w:t>
            </w:r>
            <w:r>
              <w:rPr>
                <w:sz w:val="24"/>
                <w:szCs w:val="24"/>
              </w:rPr>
              <w:t xml:space="preserve">pdf</w:t>
            </w:r>
            <w:r>
              <w:rPr>
                <w:sz w:val="24"/>
                <w:szCs w:val="24"/>
              </w:rPr>
              <w:t xml:space="preserve"> (пояснительная записка и «ПОС» обязательно в </w:t>
            </w:r>
            <w:r>
              <w:rPr>
                <w:sz w:val="24"/>
                <w:szCs w:val="24"/>
              </w:rPr>
              <w:t xml:space="preserve">pdf</w:t>
            </w:r>
            <w:r>
              <w:rPr>
                <w:sz w:val="24"/>
                <w:szCs w:val="24"/>
              </w:rPr>
              <w:t xml:space="preserve">  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doc</w:t>
            </w:r>
            <w:r>
              <w:rPr>
                <w:sz w:val="24"/>
                <w:szCs w:val="24"/>
              </w:rPr>
              <w:t xml:space="preserve">) с подписями и печатями на титульных листах;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графическая часть -  </w:t>
            </w:r>
            <w:r>
              <w:rPr>
                <w:sz w:val="24"/>
                <w:szCs w:val="24"/>
              </w:rPr>
              <w:t xml:space="preserve">dwg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 xml:space="preserve">AutoCAD</w:t>
            </w:r>
            <w:r>
              <w:rPr>
                <w:sz w:val="24"/>
                <w:szCs w:val="24"/>
              </w:rPr>
              <w:t xml:space="preserve">) или </w:t>
            </w:r>
            <w:r>
              <w:rPr>
                <w:sz w:val="24"/>
                <w:szCs w:val="24"/>
              </w:rPr>
              <w:t xml:space="preserve">cdw</w:t>
            </w:r>
            <w:r>
              <w:rPr>
                <w:sz w:val="24"/>
                <w:szCs w:val="24"/>
              </w:rPr>
              <w:t xml:space="preserve"> (Компас), </w:t>
            </w:r>
            <w:r>
              <w:rPr>
                <w:sz w:val="24"/>
                <w:szCs w:val="24"/>
              </w:rPr>
              <w:t xml:space="preserve">pdf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tiff</w:t>
            </w:r>
            <w:r>
              <w:rPr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таблицы данных - </w:t>
            </w:r>
            <w:r>
              <w:rPr>
                <w:sz w:val="24"/>
                <w:szCs w:val="24"/>
              </w:rPr>
              <w:t xml:space="preserve">doc</w:t>
            </w:r>
            <w:r>
              <w:rPr>
                <w:sz w:val="24"/>
                <w:szCs w:val="24"/>
              </w:rPr>
              <w:t xml:space="preserve"> (MS </w:t>
            </w:r>
            <w:r>
              <w:rPr>
                <w:sz w:val="24"/>
                <w:szCs w:val="24"/>
              </w:rPr>
              <w:t xml:space="preserve">Word</w:t>
            </w:r>
            <w:r>
              <w:rPr>
                <w:sz w:val="24"/>
                <w:szCs w:val="24"/>
              </w:rPr>
              <w:t xml:space="preserve">), </w:t>
            </w:r>
            <w:r>
              <w:rPr>
                <w:sz w:val="24"/>
                <w:szCs w:val="24"/>
              </w:rPr>
              <w:t xml:space="preserve">pdf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xls</w:t>
            </w:r>
            <w:r>
              <w:rPr>
                <w:sz w:val="24"/>
                <w:szCs w:val="24"/>
              </w:rPr>
              <w:t xml:space="preserve"> (MS </w:t>
            </w:r>
            <w:r>
              <w:rPr>
                <w:sz w:val="24"/>
                <w:szCs w:val="24"/>
              </w:rPr>
              <w:t xml:space="preserve">Excel</w:t>
            </w:r>
            <w:r>
              <w:rPr>
                <w:sz w:val="24"/>
                <w:szCs w:val="24"/>
              </w:rPr>
              <w:t xml:space="preserve">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сметную документацию – в формате «ГРАНД-смета» - </w:t>
            </w:r>
            <w:r>
              <w:rPr>
                <w:sz w:val="24"/>
                <w:szCs w:val="24"/>
              </w:rPr>
              <w:t xml:space="preserve">gsfx</w:t>
            </w:r>
            <w:r>
              <w:rPr>
                <w:sz w:val="24"/>
                <w:szCs w:val="24"/>
              </w:rPr>
              <w:t xml:space="preserve">,   </w:t>
            </w:r>
            <w:r>
              <w:rPr>
                <w:sz w:val="24"/>
                <w:szCs w:val="24"/>
              </w:rPr>
              <w:t xml:space="preserve">xlsx</w:t>
            </w:r>
            <w:r>
              <w:rPr>
                <w:sz w:val="24"/>
                <w:szCs w:val="24"/>
              </w:rPr>
              <w:t xml:space="preserve"> (MS </w:t>
            </w:r>
            <w:r>
              <w:rPr>
                <w:sz w:val="24"/>
                <w:szCs w:val="24"/>
              </w:rPr>
              <w:t xml:space="preserve">Excel</w:t>
            </w:r>
            <w:r>
              <w:rPr>
                <w:sz w:val="24"/>
                <w:szCs w:val="24"/>
              </w:rPr>
              <w:t xml:space="preserve">) и </w:t>
            </w:r>
            <w:r>
              <w:rPr>
                <w:sz w:val="24"/>
                <w:szCs w:val="24"/>
              </w:rPr>
              <w:t xml:space="preserve">pdf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pStyle w:val="971"/>
              <w:keepNext w:val="0"/>
              <w:rPr>
                <w:lang w:val="ru-RU"/>
              </w:rPr>
              <w:outlineLvl w:val="2"/>
            </w:pPr>
            <w:r>
              <w:rPr>
                <w:lang w:val="ru-RU"/>
              </w:rPr>
              <w:t xml:space="preserve">-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/>
        <w:tc>
          <w:tcPr>
            <w:tcW w:w="842" w:type="dxa"/>
            <w:vAlign w:val="center"/>
            <w:textDirection w:val="lrTb"/>
            <w:noWrap w:val="false"/>
          </w:tcPr>
          <w:p>
            <w:pPr>
              <w:pStyle w:val="946"/>
              <w:numPr>
                <w:ilvl w:val="0"/>
                <w:numId w:val="8"/>
              </w:numPr>
              <w:jc w:val="center"/>
              <w:spacing w:before="60" w:after="60"/>
            </w:pPr>
            <w:r/>
            <w:r/>
          </w:p>
        </w:tc>
        <w:tc>
          <w:tcPr>
            <w:gridSpan w:val="3"/>
            <w:tcW w:w="9652" w:type="dxa"/>
            <w:vAlign w:val="center"/>
            <w:textDirection w:val="lrTb"/>
            <w:noWrap w:val="false"/>
          </w:tcPr>
          <w:p>
            <w:pPr>
              <w:spacing w:before="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42" w:type="dxa"/>
            <w:vAlign w:val="center"/>
            <w:textDirection w:val="lrTb"/>
            <w:noWrap w:val="false"/>
          </w:tcPr>
          <w:p>
            <w:pPr>
              <w:pStyle w:val="946"/>
              <w:numPr>
                <w:ilvl w:val="2"/>
                <w:numId w:val="8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tcW w:w="2282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bCs/>
                <w:sz w:val="24"/>
                <w:szCs w:val="24"/>
              </w:rPr>
            </w:pPr>
            <w:r>
              <w:rPr>
                <w:sz w:val="24"/>
              </w:rPr>
              <w:t xml:space="preserve">Перечень нормативных документов и приказов, обязательных к применению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7370" w:type="dxa"/>
            <w:textDirection w:val="lrTb"/>
            <w:noWrap w:val="false"/>
          </w:tcPr>
          <w:p>
            <w:pPr>
              <w:ind w:right="193" w:firstLine="284"/>
              <w:jc w:val="both"/>
              <w:spacing w:line="276" w:lineRule="auto"/>
              <w:widowControl w:val="off"/>
              <w:tabs>
                <w:tab w:val="left" w:pos="146" w:leader="none"/>
                <w:tab w:val="left" w:pos="43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Градостроительный кодекс РФ.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widowControl w:val="off"/>
              <w:tabs>
                <w:tab w:val="left" w:pos="146" w:leader="none"/>
                <w:tab w:val="left" w:pos="43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Положение о составе разделов проектной документации и требования к их содержанию, утвержденное Постановлением Правительства РФ от 16.02.2008 №87.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widowControl w:val="off"/>
              <w:tabs>
                <w:tab w:val="left" w:pos="146" w:leader="none"/>
                <w:tab w:val="left" w:pos="43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ФНиП</w:t>
            </w:r>
            <w:r>
              <w:rPr>
                <w:sz w:val="24"/>
                <w:szCs w:val="24"/>
              </w:rPr>
              <w:t xml:space="preserve"> «Правил безопасности химически опасных производственных объектов».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widowControl w:val="off"/>
              <w:tabs>
                <w:tab w:val="left" w:pos="146" w:leader="none"/>
                <w:tab w:val="left" w:pos="43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Федеральный закон № 116-ФЗ от 21.07.1997 «О промышленной безопасности опасных производственных объектов».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widowControl w:val="off"/>
              <w:tabs>
                <w:tab w:val="left" w:pos="146" w:leader="none"/>
                <w:tab w:val="left" w:pos="43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Федеральный закон от 23.11.2009 № 261-Ф3 «Об энергосбережении и повышении энергетической эффективности и о внесении изменений в отдельные законодательные акты РФ».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widowControl w:val="off"/>
              <w:tabs>
                <w:tab w:val="left" w:pos="146" w:leader="none"/>
                <w:tab w:val="left" w:pos="43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Федеральный закон от 27.12.2002 №184-ФЗ «О техническом регулировании».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widowControl w:val="off"/>
              <w:tabs>
                <w:tab w:val="left" w:pos="146" w:leader="none"/>
                <w:tab w:val="left" w:pos="43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Федеральный закон от 30.12.2009 № 384-ФЗ «Технический регламент о безопасности зданий и сооружений.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widowControl w:val="off"/>
              <w:tabs>
                <w:tab w:val="left" w:pos="146" w:leader="none"/>
                <w:tab w:val="left" w:pos="43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Федеральный закон от 22.07.2008 № 123-ФЗ «Технический регламент о требованиях пожарной безопасности».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widowControl w:val="off"/>
              <w:tabs>
                <w:tab w:val="left" w:pos="146" w:leader="none"/>
                <w:tab w:val="left" w:pos="43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Технический регламент Таможенного союза ТР ТС 010/2011 «О безопасности машин и оборудования, утверждённый комиссией Таможенного союза 18 октября 2011 г. №823;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widowControl w:val="off"/>
              <w:tabs>
                <w:tab w:val="left" w:pos="146" w:leader="none"/>
                <w:tab w:val="left" w:pos="43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ПУЭ «Правила устройства электроустановок», 6 и 7 издания (с изменениями).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widowControl w:val="off"/>
              <w:tabs>
                <w:tab w:val="left" w:pos="146" w:leader="none"/>
                <w:tab w:val="left" w:pos="43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СП 256.1325800.2016 «Электроустановки жилых и общественных зданий. Правила проектирования и монтажа».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widowControl w:val="off"/>
              <w:tabs>
                <w:tab w:val="left" w:pos="146" w:leader="none"/>
                <w:tab w:val="left" w:pos="43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НТП ЭПП-94 Проектирование электроснабжения промышленных предприятий. Нормы технологического проектирования.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widowControl w:val="off"/>
              <w:tabs>
                <w:tab w:val="left" w:pos="146" w:leader="none"/>
                <w:tab w:val="left" w:pos="43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РТМ 36.18.32.4-92 «Указания по расчету электрических </w:t>
            </w:r>
            <w:r>
              <w:rPr>
                <w:sz w:val="24"/>
                <w:szCs w:val="24"/>
              </w:rPr>
              <w:t xml:space="preserve">нагрузок».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widowControl w:val="off"/>
              <w:tabs>
                <w:tab w:val="left" w:pos="146" w:leader="none"/>
                <w:tab w:val="left" w:pos="43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ГОСТ 31565 – 2012 «Кабельные изделия. Требования пожарной безопасности». Актуализированная редакция СНиП 31-06- 2009 (п. 7.19).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widowControl w:val="off"/>
              <w:tabs>
                <w:tab w:val="left" w:pos="146" w:leader="none"/>
                <w:tab w:val="left" w:pos="43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Федеральный закон № 261 «Федеральный закон об энергосбережении» от 23.11.2009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widowControl w:val="off"/>
              <w:tabs>
                <w:tab w:val="left" w:pos="146" w:leader="none"/>
                <w:tab w:val="left" w:pos="43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Федеральный закон №116 ФЗ «О промышленной безопасности опасных производственных объектов от 21.07.1997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widowControl w:val="off"/>
              <w:tabs>
                <w:tab w:val="left" w:pos="146" w:leader="none"/>
                <w:tab w:val="left" w:pos="43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СП 48.13330.2019 «Организация строительства».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widowControl w:val="off"/>
              <w:tabs>
                <w:tab w:val="left" w:pos="146" w:leader="none"/>
                <w:tab w:val="left" w:pos="43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СНиП 3.05.07-85 «Системы автоматизации».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widowControl w:val="off"/>
              <w:tabs>
                <w:tab w:val="left" w:pos="146" w:leader="none"/>
                <w:tab w:val="left" w:pos="43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СНиП 3.05.06-85 «Электротехнические устройства».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widowControl w:val="off"/>
              <w:tabs>
                <w:tab w:val="left" w:pos="146" w:leader="none"/>
                <w:tab w:val="left" w:pos="43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СНиП II-58-75 «Электростанции тепловые».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widowControl w:val="off"/>
              <w:tabs>
                <w:tab w:val="left" w:pos="146" w:leader="none"/>
                <w:tab w:val="left" w:pos="43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ГОСТ 24.104-85 «Автоматизированные системы управления. Общие требования».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widowControl w:val="off"/>
              <w:tabs>
                <w:tab w:val="left" w:pos="146" w:leader="none"/>
                <w:tab w:val="left" w:pos="43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ГОСТ 34.603-92 «Виды испытаний автоматизированных систем».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widowControl w:val="off"/>
              <w:tabs>
                <w:tab w:val="left" w:pos="146" w:leader="none"/>
                <w:tab w:val="left" w:pos="43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ГОСТ 12.2.003-91 «Оборудование производственное. Общие требования безопасности».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widowControl w:val="off"/>
              <w:tabs>
                <w:tab w:val="left" w:pos="146" w:leader="none"/>
                <w:tab w:val="left" w:pos="43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СО 34.03.201-97 «Правила техники безопасности при эксплуатации тепломеханического оборудования электростанций и тепловых сетей».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widowControl w:val="off"/>
              <w:tabs>
                <w:tab w:val="left" w:pos="146" w:leader="none"/>
                <w:tab w:val="left" w:pos="43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«Правила по охране труда при эксплуатации электроустановок» Приказ Минтруда России от 15.12.2020 N 903н.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widowControl w:val="off"/>
              <w:tabs>
                <w:tab w:val="left" w:pos="146" w:leader="none"/>
                <w:tab w:val="left" w:pos="43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«Правила охраны труда при работе с инструментом и приспособлениями».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widowControl w:val="off"/>
              <w:tabs>
                <w:tab w:val="left" w:pos="146" w:leader="none"/>
                <w:tab w:val="left" w:pos="43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СО 34.03.301-00 «Правила пожарной безопасности для энергетических предприятий».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widowControl w:val="off"/>
              <w:tabs>
                <w:tab w:val="left" w:pos="146" w:leader="none"/>
                <w:tab w:val="left" w:pos="43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СО 153-34.20.501-2003 «Правила технической эксплуатации электрических станций и сетей».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widowControl w:val="off"/>
              <w:tabs>
                <w:tab w:val="left" w:pos="146" w:leader="none"/>
                <w:tab w:val="left" w:pos="43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СО 34.04.181-2003 «Правила организации технического обслуживания и ремонта оборудования, зданий и сооружений электростанций и сетей». 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widowControl w:val="off"/>
              <w:tabs>
                <w:tab w:val="left" w:pos="146" w:leader="none"/>
                <w:tab w:val="left" w:pos="43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СО 3.03.384-96 «Инструкция по организации и производству работ повышенной опасности».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widowControl w:val="off"/>
              <w:tabs>
                <w:tab w:val="left" w:pos="146" w:leader="none"/>
                <w:tab w:val="left" w:pos="43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СанПиН 2.2.3.1384-03 «Гигиенические требования к организации строительного производства и строительных работ».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widowControl w:val="off"/>
              <w:tabs>
                <w:tab w:val="left" w:pos="146" w:leader="none"/>
                <w:tab w:val="left" w:pos="43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Положение о допуске командированного персонала к производству работ на объектах АО «ДГК».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widowControl w:val="off"/>
              <w:tabs>
                <w:tab w:val="left" w:pos="146" w:leader="none"/>
                <w:tab w:val="left" w:pos="43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Заводские инструкции и ТУ на оборудование.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widowControl w:val="off"/>
              <w:tabs>
                <w:tab w:val="left" w:pos="146" w:leader="none"/>
                <w:tab w:val="left" w:pos="43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«Генераторы водорода на основе процесса электролиза воды» ГОСТ Р ИСО 22734-1-2013.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widowControl w:val="off"/>
              <w:tabs>
                <w:tab w:val="left" w:pos="146" w:leader="none"/>
                <w:tab w:val="left" w:pos="43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Другие технические регламенты, строительные нормы и правила, федеральные нормы и правила, государственные отраслевые стандарт, стандарты организации и т.д.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Перечень не является исчерпывающим и при применении используются действующие редакции.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pStyle w:val="971"/>
              <w:keepNext w:val="0"/>
              <w:rPr>
                <w:lang w:val="ru-RU"/>
              </w:rPr>
              <w:outlineLvl w:val="2"/>
            </w:pPr>
            <w:r>
              <w:rPr>
                <w:lang w:val="ru-RU"/>
              </w:rPr>
              <w:t xml:space="preserve">-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/>
        <w:tc>
          <w:tcPr>
            <w:tcW w:w="842" w:type="dxa"/>
            <w:vAlign w:val="center"/>
            <w:textDirection w:val="lrTb"/>
            <w:noWrap w:val="false"/>
          </w:tcPr>
          <w:p>
            <w:pPr>
              <w:pStyle w:val="946"/>
              <w:numPr>
                <w:ilvl w:val="0"/>
                <w:numId w:val="8"/>
              </w:numPr>
              <w:jc w:val="center"/>
              <w:spacing w:before="60" w:after="60"/>
            </w:pPr>
            <w:r/>
            <w:r/>
          </w:p>
        </w:tc>
        <w:tc>
          <w:tcPr>
            <w:gridSpan w:val="3"/>
            <w:tcW w:w="9652" w:type="dxa"/>
            <w:vAlign w:val="center"/>
            <w:textDirection w:val="lrTb"/>
            <w:noWrap w:val="false"/>
          </w:tcPr>
          <w:p>
            <w:pPr>
              <w:jc w:val="both"/>
              <w:spacing w:before="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ответственности и гарантиям подрядчика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42" w:type="dxa"/>
            <w:vAlign w:val="center"/>
            <w:textDirection w:val="lrTb"/>
            <w:noWrap w:val="false"/>
          </w:tcPr>
          <w:p>
            <w:pPr>
              <w:pStyle w:val="946"/>
              <w:numPr>
                <w:ilvl w:val="2"/>
                <w:numId w:val="8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gridSpan w:val="3"/>
            <w:tcW w:w="965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субподрядным организациям, привлекаемым к выполнению работ: Подробно указаны в проекте договора, который включен в состав Документации о закупке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before="4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-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842" w:type="dxa"/>
            <w:vAlign w:val="center"/>
            <w:textDirection w:val="lrTb"/>
            <w:noWrap w:val="false"/>
          </w:tcPr>
          <w:p>
            <w:pPr>
              <w:pStyle w:val="946"/>
              <w:numPr>
                <w:ilvl w:val="0"/>
                <w:numId w:val="8"/>
              </w:numPr>
              <w:jc w:val="center"/>
              <w:spacing w:before="60" w:after="60"/>
            </w:pPr>
            <w:r/>
            <w:r/>
          </w:p>
        </w:tc>
        <w:tc>
          <w:tcPr>
            <w:gridSpan w:val="3"/>
            <w:tcW w:w="9652" w:type="dxa"/>
            <w:vAlign w:val="center"/>
            <w:textDirection w:val="lrTb"/>
            <w:noWrap w:val="false"/>
          </w:tcPr>
          <w:p>
            <w:pPr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подрядчику (и субподрядчикам) и его обязательствам, влияющим на исполнение договора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42" w:type="dxa"/>
            <w:vAlign w:val="center"/>
            <w:textDirection w:val="lrTb"/>
            <w:noWrap w:val="false"/>
          </w:tcPr>
          <w:p>
            <w:pPr>
              <w:pStyle w:val="946"/>
              <w:numPr>
                <w:ilvl w:val="2"/>
                <w:numId w:val="8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gridSpan w:val="3"/>
            <w:tcW w:w="965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субподрядным организациям, привлекаемым к выполнению работ: Подробно указаны в проекте договора, который включен в состав Документации о закупке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pStyle w:val="971"/>
              <w:keepNext w:val="0"/>
              <w:rPr>
                <w:lang w:val="ru-RU"/>
              </w:rPr>
              <w:outlineLvl w:val="2"/>
            </w:pPr>
            <w:r>
              <w:rPr>
                <w:lang w:val="ru-RU"/>
              </w:rPr>
              <w:t xml:space="preserve">-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/>
        <w:tc>
          <w:tcPr>
            <w:tcW w:w="842" w:type="dxa"/>
            <w:vAlign w:val="center"/>
            <w:textDirection w:val="lrTb"/>
            <w:noWrap w:val="false"/>
          </w:tcPr>
          <w:p>
            <w:pPr>
              <w:pStyle w:val="946"/>
              <w:numPr>
                <w:ilvl w:val="0"/>
                <w:numId w:val="8"/>
              </w:numPr>
              <w:jc w:val="center"/>
              <w:spacing w:before="60" w:after="60"/>
            </w:pPr>
            <w:r/>
            <w:r/>
          </w:p>
        </w:tc>
        <w:tc>
          <w:tcPr>
            <w:gridSpan w:val="3"/>
            <w:tcW w:w="9652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Прочие требования к выполняемым работам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42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82" w:type="dxa"/>
            <w:vAlign w:val="center"/>
            <w:textDirection w:val="lrTb"/>
            <w:noWrap w:val="false"/>
          </w:tcPr>
          <w:p>
            <w:pPr>
              <w:pStyle w:val="971"/>
              <w:jc w:val="both"/>
              <w:keepNext w:val="0"/>
              <w:outlineLvl w:val="2"/>
            </w:pPr>
            <w:r>
              <w:rPr>
                <w:b w:val="0"/>
              </w:rPr>
              <w:t xml:space="preserve">Особые условия заказчика</w:t>
            </w:r>
            <w:r/>
          </w:p>
        </w:tc>
        <w:tc>
          <w:tcPr>
            <w:gridSpan w:val="2"/>
            <w:tcW w:w="7370" w:type="dxa"/>
            <w:vAlign w:val="center"/>
            <w:textDirection w:val="lrTb"/>
            <w:noWrap w:val="false"/>
          </w:tcPr>
          <w:p>
            <w:pPr>
              <w:ind w:right="193" w:firstLine="284"/>
              <w:jc w:val="bot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 Применяемое Подрядчиком в проекте оборудование и материалы согласовывать с СП «Артемовская ТЭЦ». Все </w:t>
            </w:r>
            <w:r>
              <w:rPr>
                <w:sz w:val="24"/>
                <w:szCs w:val="24"/>
              </w:rPr>
              <w:t xml:space="preserve">применяемое в проекте оборудование должно иметь необходимые сертификаты РФ.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93" w:firstLine="284"/>
              <w:jc w:val="both"/>
              <w:spacing w:line="276" w:lineRule="auto"/>
              <w:rPr>
                <w:rStyle w:val="1004"/>
                <w:color w:val="auto"/>
              </w:rPr>
            </w:pPr>
            <w:r>
              <w:rPr>
                <w:sz w:val="24"/>
                <w:szCs w:val="24"/>
              </w:rPr>
              <w:t xml:space="preserve">2. </w:t>
            </w:r>
            <w:r>
              <w:rPr>
                <w:rStyle w:val="1004"/>
                <w:color w:val="auto"/>
              </w:rPr>
              <w:t xml:space="preserve">Все замечания экспертных и надзорных органов полученных в ходе проведения согла</w:t>
            </w:r>
            <w:r>
              <w:rPr>
                <w:rStyle w:val="1004"/>
                <w:color w:val="auto"/>
              </w:rPr>
              <w:t xml:space="preserve">сований, а также несоответствия рабочей документации и проектных решений требованиям действующих нормативных и законодательных актов, устраняются Подрядчиком за счет собственных сил и средств, с внесением необходимых исправлений и изменений в документацию.</w:t>
            </w:r>
            <w:r>
              <w:rPr>
                <w:rStyle w:val="1004"/>
                <w:color w:val="auto"/>
              </w:rPr>
            </w:r>
            <w:r>
              <w:rPr>
                <w:rStyle w:val="1004"/>
                <w:color w:val="auto"/>
              </w:rPr>
            </w:r>
          </w:p>
          <w:p>
            <w:pPr>
              <w:ind w:right="193" w:firstLine="284"/>
              <w:jc w:val="bot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Подрядчик своими силами обеспечивает сбор исходных данных в объеме, необходимом для выполнения проектных работ, а также получение технических условий (при необходимости) и всех исходных материалов, необходимых для выполнения работ по проектированию.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1"/>
              <w:jc w:val="both"/>
              <w:keepNext w:val="0"/>
              <w:outlineLvl w:val="2"/>
            </w:pPr>
            <w:r>
              <w:rPr>
                <w:b w:val="0"/>
                <w:lang w:val="ru-RU"/>
              </w:rPr>
              <w:t xml:space="preserve">     </w:t>
            </w:r>
            <w:r>
              <w:rPr>
                <w:b w:val="0"/>
              </w:rPr>
              <w:t xml:space="preserve">4. Заказчик и Подрядчик распорядительными документами по организациям определяют ответственных представителей для решения административных и технических вопросов. О произведенных назначениях, Стороны информируют друг друга письменно.</w:t>
            </w:r>
            <w:r/>
          </w:p>
        </w:tc>
        <w:tc>
          <w:tcPr>
            <w:tcW w:w="212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pStyle w:val="971"/>
              <w:keepNext w:val="0"/>
              <w:rPr>
                <w:lang w:val="ru-RU"/>
              </w:rPr>
              <w:outlineLvl w:val="2"/>
            </w:pPr>
            <w:r>
              <w:rPr>
                <w:lang w:val="ru-RU"/>
              </w:rPr>
              <w:t xml:space="preserve">-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</w:tbl>
    <w:p>
      <w:pPr>
        <w:jc w:val="center"/>
        <w:rPr>
          <w:b/>
          <w:i/>
          <w:sz w:val="24"/>
          <w:szCs w:val="24"/>
        </w:rPr>
        <w:sectPr>
          <w:footnotePr/>
          <w:endnotePr/>
          <w:type w:val="nextPage"/>
          <w:pgSz w:w="16838" w:h="11906" w:orient="landscape"/>
          <w:pgMar w:top="851" w:right="567" w:bottom="851" w:left="992" w:header="680" w:footer="737" w:gutter="0"/>
          <w:cols w:num="1" w:sep="0" w:space="708" w:equalWidth="1"/>
          <w:docGrid w:linePitch="360"/>
          <w:titlePg/>
        </w:sectPr>
      </w:pP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pStyle w:val="880"/>
        <w:ind w:left="357" w:hanging="357"/>
        <w:jc w:val="center"/>
        <w:keepLines/>
        <w:rPr>
          <w:sz w:val="24"/>
          <w:szCs w:val="24"/>
          <w:lang w:val="ru-RU"/>
        </w:rPr>
      </w:pPr>
      <w:r/>
      <w:bookmarkStart w:id="28" w:name="_Toc53393312"/>
      <w:r/>
      <w:bookmarkStart w:id="29" w:name="_Toc54646411"/>
      <w:r/>
      <w:bookmarkStart w:id="30" w:name="_Toc46743519"/>
      <w:r/>
      <w:bookmarkStart w:id="31" w:name="_Toc51339699"/>
      <w:r>
        <w:rPr>
          <w:sz w:val="24"/>
          <w:szCs w:val="24"/>
          <w:lang w:val="ru-RU"/>
        </w:rPr>
        <w:t xml:space="preserve">Требования к документации по ценообразованию</w:t>
      </w:r>
      <w:bookmarkEnd w:id="28"/>
      <w:r>
        <w:rPr>
          <w:sz w:val="24"/>
          <w:szCs w:val="24"/>
          <w:lang w:val="ru-RU"/>
        </w:rPr>
        <w:t xml:space="preserve"> на этапе закупки</w:t>
      </w:r>
      <w:bookmarkEnd w:id="29"/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ind w:firstLine="709"/>
        <w:jc w:val="both"/>
        <w:spacing w:after="120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</w:rPr>
        <w:t xml:space="preserve">3.1. В обоснование стоимости своей заявки Участник должен предоставить Коммерческое предложение по форме (с учетом прилагаемой к ней инструкции по заполнению), приведенной в Документации о закупке.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ind w:firstLine="709"/>
        <w:jc w:val="both"/>
        <w:spacing w:after="120"/>
        <w:rPr>
          <w:rFonts w:eastAsia="Calibri"/>
          <w:bCs w:val="0"/>
          <w:i w:val="0"/>
          <w:sz w:val="24"/>
          <w:szCs w:val="24"/>
        </w:rPr>
      </w:pPr>
      <w:r>
        <w:rPr>
          <w:rFonts w:eastAsia="Calibri"/>
          <w:i w:val="0"/>
          <w:iCs w:val="0"/>
          <w:sz w:val="24"/>
          <w:szCs w:val="24"/>
          <w:highlight w:val="none"/>
        </w:rPr>
      </w:r>
      <w:r>
        <w:rPr>
          <w:i w:val="0"/>
          <w:iCs w:val="0"/>
          <w:sz w:val="24"/>
          <w:szCs w:val="24"/>
        </w:rPr>
        <w:t xml:space="preserve">3.2. </w:t>
      </w:r>
      <w:r>
        <w:rPr>
          <w:i w:val="0"/>
          <w:iCs w:val="0"/>
          <w:sz w:val="24"/>
          <w:szCs w:val="24"/>
        </w:rPr>
        <w:t xml:space="preserve">Дополнительные документы по ценообразованию (сметная документация) в состав </w:t>
      </w:r>
      <w:r>
        <w:rPr>
          <w:i w:val="0"/>
          <w:iCs w:val="0"/>
          <w:sz w:val="24"/>
          <w:szCs w:val="24"/>
        </w:rPr>
        <w:t xml:space="preserve">заявки участника не включаются</w:t>
      </w:r>
      <w:r>
        <w:rPr>
          <w:i w:val="0"/>
          <w:iCs w:val="0"/>
          <w:sz w:val="24"/>
          <w:szCs w:val="24"/>
        </w:rPr>
        <w:t xml:space="preserve">.</w:t>
      </w:r>
      <w:r>
        <w:rPr>
          <w:rFonts w:eastAsia="Calibri"/>
          <w:bCs w:val="0"/>
          <w:i w:val="0"/>
          <w:sz w:val="24"/>
          <w:szCs w:val="24"/>
        </w:rPr>
      </w:r>
      <w:r>
        <w:rPr>
          <w:rFonts w:eastAsia="Calibri"/>
          <w:bCs w:val="0"/>
          <w:i w:val="0"/>
          <w:sz w:val="24"/>
          <w:szCs w:val="24"/>
        </w:rPr>
      </w:r>
    </w:p>
    <w:p>
      <w:pPr>
        <w:rPr>
          <w:rFonts w:eastAsia="Calibri"/>
          <w:b/>
          <w:iCs/>
          <w:sz w:val="24"/>
          <w:szCs w:val="24"/>
        </w:rPr>
      </w:pPr>
      <w:r>
        <w:rPr>
          <w:rFonts w:eastAsia="Calibri"/>
          <w:b/>
          <w:iCs/>
          <w:sz w:val="24"/>
          <w:szCs w:val="24"/>
        </w:rPr>
      </w:r>
      <w:r>
        <w:rPr>
          <w:rFonts w:eastAsia="Calibri"/>
          <w:b/>
          <w:iCs/>
          <w:sz w:val="24"/>
          <w:szCs w:val="24"/>
        </w:rPr>
      </w:r>
      <w:r>
        <w:rPr>
          <w:rFonts w:eastAsia="Calibri"/>
          <w:b/>
          <w:iCs/>
          <w:sz w:val="24"/>
          <w:szCs w:val="24"/>
        </w:rPr>
      </w:r>
    </w:p>
    <w:p>
      <w:pPr>
        <w:pStyle w:val="880"/>
        <w:ind w:left="357" w:hanging="357"/>
        <w:jc w:val="center"/>
        <w:keepLines/>
        <w:rPr>
          <w:sz w:val="24"/>
          <w:szCs w:val="24"/>
          <w:lang w:val="ru-RU"/>
        </w:rPr>
      </w:pPr>
      <w:r/>
      <w:bookmarkStart w:id="32" w:name="_Toc54646412"/>
      <w:r>
        <w:rPr>
          <w:sz w:val="24"/>
          <w:szCs w:val="24"/>
          <w:lang w:val="ru-RU"/>
        </w:rPr>
        <w:t xml:space="preserve">Требования к документации по ценообразованию на этапе заключения </w:t>
      </w:r>
      <w:r>
        <w:rPr>
          <w:sz w:val="24"/>
          <w:szCs w:val="24"/>
          <w:lang w:val="ru-RU"/>
        </w:rPr>
        <w:t xml:space="preserve">(исполнения) </w:t>
      </w:r>
      <w:r>
        <w:rPr>
          <w:sz w:val="24"/>
          <w:szCs w:val="24"/>
          <w:lang w:val="ru-RU"/>
        </w:rPr>
        <w:t xml:space="preserve">договора</w:t>
      </w:r>
      <w:bookmarkEnd w:id="32"/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ind w:firstLine="567"/>
        <w:jc w:val="both"/>
        <w:rPr>
          <w:sz w:val="23"/>
          <w:szCs w:val="23"/>
          <w:u w:val="single"/>
        </w:rPr>
      </w:pPr>
      <w:r>
        <w:rPr>
          <w:i/>
          <w:iCs/>
          <w:sz w:val="22"/>
          <w:szCs w:val="22"/>
        </w:rPr>
        <w:t xml:space="preserve"> </w:t>
      </w:r>
      <w:r>
        <w:rPr>
          <w:sz w:val="23"/>
          <w:szCs w:val="23"/>
          <w:u w:val="single"/>
        </w:rPr>
        <w:t xml:space="preserve">4.1. Требования к составлению сметной документации (при заключении договора):</w:t>
      </w:r>
      <w:r>
        <w:rPr>
          <w:sz w:val="23"/>
          <w:szCs w:val="23"/>
          <w:u w:val="single"/>
        </w:rPr>
      </w:r>
      <w:r>
        <w:rPr>
          <w:sz w:val="23"/>
          <w:szCs w:val="23"/>
          <w:u w:val="single"/>
        </w:rPr>
      </w:r>
    </w:p>
    <w:p>
      <w:pPr>
        <w:ind w:left="0" w:right="0" w:firstLine="567"/>
        <w:jc w:val="both"/>
        <w:spacing w:before="60" w:after="60"/>
        <w:rPr>
          <w:rFonts w:ascii="Times New Roman" w:hAnsi="Times New Roman" w:cs="Times New Roman"/>
          <w:bCs w:val="0"/>
          <w:i w:val="0"/>
          <w:sz w:val="28"/>
          <w:szCs w:val="28"/>
        </w:rPr>
      </w:pPr>
      <w:r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4.1.1. Сметная документация разрабатывается </w:t>
      </w:r>
      <w:r>
        <w:rPr>
          <w:rFonts w:ascii="Times New Roman" w:hAnsi="Times New Roman" w:eastAsia="Times New Roman" w:cs="Times New Roman"/>
          <w:bCs/>
          <w:i w:val="0"/>
          <w:iCs w:val="0"/>
          <w:sz w:val="24"/>
          <w:szCs w:val="24"/>
        </w:rPr>
        <w:t xml:space="preserve">Участником, с которым принято решение заключить договор</w:t>
      </w:r>
      <w:r>
        <w:rPr>
          <w:rFonts w:ascii="Times New Roman" w:hAnsi="Times New Roman" w:eastAsia="Times New Roman" w:cs="Times New Roman"/>
          <w:bCs w:val="0"/>
          <w:i w:val="0"/>
          <w:iCs w:val="0"/>
          <w:sz w:val="24"/>
          <w:szCs w:val="24"/>
        </w:rPr>
        <w:t xml:space="preserve"> на этапе заклю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чения ( исполнения) договора в соответствие с требованиями по оформлению и составлению документации по ценообразованию ( Приложение №1 к настоящим ТТ)</w:t>
      </w:r>
      <w:r>
        <w:rPr>
          <w:rFonts w:ascii="Times New Roman" w:hAnsi="Times New Roman" w:cs="Times New Roman"/>
          <w:bCs w:val="0"/>
          <w:i w:val="0"/>
          <w:sz w:val="28"/>
          <w:szCs w:val="28"/>
        </w:rPr>
      </w:r>
      <w:r>
        <w:rPr>
          <w:rFonts w:ascii="Times New Roman" w:hAnsi="Times New Roman" w:cs="Times New Roman"/>
          <w:bCs w:val="0"/>
          <w:i w:val="0"/>
          <w:sz w:val="28"/>
          <w:szCs w:val="28"/>
        </w:rPr>
      </w:r>
    </w:p>
    <w:p>
      <w:pPr>
        <w:ind w:left="0" w:right="0" w:firstLine="567"/>
        <w:jc w:val="both"/>
        <w:spacing w:after="12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4.1.2. Е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сли стоимость по смете, разработанной Подрядчиком, будет превышать стоимость, указанную в 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К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оммерческом предложении, в ходе исполнения договора Подрядчику необходимо применить соответствующий дополнительный понижающий коэффициент и откорректировать стоимость в сторону ее уменьшения.</w:t>
      </w:r>
      <w:r>
        <w:rPr>
          <w:rFonts w:ascii="Times New Roman" w:hAnsi="Times New Roman" w:cs="Times New Roman"/>
          <w:i/>
          <w:iCs/>
          <w:sz w:val="24"/>
          <w:szCs w:val="24"/>
        </w:rPr>
      </w:r>
      <w:r>
        <w:rPr>
          <w:rFonts w:ascii="Times New Roman" w:hAnsi="Times New Roman" w:cs="Times New Roman"/>
          <w:i/>
          <w:iCs/>
          <w:sz w:val="24"/>
          <w:szCs w:val="24"/>
        </w:rPr>
      </w:r>
    </w:p>
    <w:p>
      <w:pPr>
        <w:pStyle w:val="946"/>
        <w:ind w:left="0" w:firstLine="567"/>
        <w:jc w:val="both"/>
        <w:spacing w:after="160" w:line="259" w:lineRule="auto"/>
        <w:rPr>
          <w:spacing w:val="-5"/>
          <w:lang w:bidi="ru-RU"/>
        </w:rPr>
      </w:pP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4.1.3. Е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сли стоимость по смете, разработанной Подрядчиком, будет ниже стоимости, указанной в 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К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оммерческом предложении, взаиморасчеты будут осуществляться по данной смете без увеличения стоимости, указанной в коммерческом предложении.</w:t>
      </w:r>
      <w:r>
        <w:rPr>
          <w:spacing w:val="-5"/>
          <w:lang w:bidi="ru-RU"/>
        </w:rPr>
      </w:r>
      <w:r>
        <w:rPr>
          <w:spacing w:val="-5"/>
          <w:lang w:bidi="ru-RU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rFonts w:eastAsia="Calibri"/>
          <w:b/>
          <w:iCs/>
          <w:sz w:val="24"/>
          <w:szCs w:val="24"/>
        </w:rPr>
      </w:pPr>
      <w:r>
        <w:rPr>
          <w:rFonts w:eastAsia="Calibri"/>
          <w:b/>
          <w:iCs/>
          <w:sz w:val="24"/>
          <w:szCs w:val="24"/>
        </w:rPr>
      </w:r>
      <w:r>
        <w:rPr>
          <w:rFonts w:eastAsia="Calibri"/>
          <w:b/>
          <w:iCs/>
          <w:sz w:val="24"/>
          <w:szCs w:val="24"/>
        </w:rPr>
      </w:r>
      <w:r>
        <w:rPr>
          <w:rFonts w:eastAsia="Calibri"/>
          <w:b/>
          <w:iCs/>
          <w:sz w:val="24"/>
          <w:szCs w:val="24"/>
        </w:rPr>
      </w:r>
    </w:p>
    <w:p>
      <w:pPr>
        <w:pStyle w:val="880"/>
        <w:ind w:left="357" w:hanging="357"/>
        <w:jc w:val="center"/>
        <w:keepLines/>
        <w:rPr>
          <w:iCs/>
          <w:sz w:val="24"/>
          <w:szCs w:val="24"/>
          <w:lang w:val="ru-RU"/>
        </w:rPr>
      </w:pPr>
      <w:r/>
      <w:bookmarkStart w:id="33" w:name="_Toc54646413"/>
      <w:r>
        <w:rPr>
          <w:iCs/>
          <w:sz w:val="24"/>
          <w:szCs w:val="24"/>
        </w:rPr>
        <w:t xml:space="preserve">Приложения</w:t>
      </w:r>
      <w:bookmarkEnd w:id="30"/>
      <w:r/>
      <w:bookmarkEnd w:id="31"/>
      <w:r/>
      <w:bookmarkEnd w:id="33"/>
      <w:r>
        <w:rPr>
          <w:iCs/>
          <w:sz w:val="24"/>
          <w:szCs w:val="24"/>
          <w:lang w:val="ru-RU"/>
        </w:rPr>
      </w:r>
      <w:r>
        <w:rPr>
          <w:iCs/>
          <w:sz w:val="24"/>
          <w:szCs w:val="24"/>
          <w:lang w:val="ru-RU"/>
        </w:rPr>
      </w:r>
    </w:p>
    <w:p>
      <w:pPr>
        <w:ind w:left="0" w:right="0" w:firstLine="567"/>
      </w:pPr>
      <w:r>
        <w:rPr>
          <w:bCs/>
          <w:sz w:val="24"/>
          <w:szCs w:val="24"/>
        </w:rPr>
        <w:t xml:space="preserve">Приложение</w:t>
      </w:r>
      <w:r>
        <w:rPr>
          <w:bCs/>
          <w:sz w:val="24"/>
          <w:szCs w:val="24"/>
        </w:rPr>
        <w:t xml:space="preserve"> № 1:</w:t>
      </w:r>
      <w:r>
        <w:rPr>
          <w:bCs/>
          <w:sz w:val="24"/>
          <w:szCs w:val="24"/>
        </w:rPr>
        <w:t xml:space="preserve"> Задание на проектирование.</w:t>
      </w:r>
      <w:r/>
    </w:p>
    <w:p>
      <w:pPr>
        <w:ind w:left="0" w:right="0" w:firstLine="567"/>
        <w:jc w:val="both"/>
        <w:spacing w:after="120"/>
        <w:rPr>
          <w:sz w:val="24"/>
          <w:szCs w:val="24"/>
          <w:highlight w:val="none"/>
        </w:rPr>
      </w:pPr>
      <w:r>
        <w:rPr>
          <w:bCs/>
          <w:sz w:val="24"/>
          <w:szCs w:val="24"/>
        </w:rPr>
        <w:t xml:space="preserve">Приложение </w:t>
      </w:r>
      <w:r>
        <w:rPr>
          <w:bCs/>
          <w:sz w:val="24"/>
          <w:szCs w:val="24"/>
        </w:rPr>
        <w:t xml:space="preserve">№ 2: Требования к оформлению и составлению документации по ценообразованию.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567"/>
        <w:rPr>
          <w:bCs/>
          <w:sz w:val="24"/>
          <w:szCs w:val="24"/>
        </w:rPr>
      </w:pP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</w:rPr>
        <w:t xml:space="preserve">Приложение</w:t>
      </w:r>
      <w:r>
        <w:rPr>
          <w:bCs/>
          <w:sz w:val="24"/>
          <w:szCs w:val="24"/>
        </w:rPr>
        <w:t xml:space="preserve"> № 3: </w:t>
      </w:r>
      <w:r>
        <w:rPr>
          <w:bCs/>
          <w:sz w:val="24"/>
          <w:szCs w:val="24"/>
        </w:rPr>
        <w:t xml:space="preserve">Положения о допуске персонала подрядных организаций к выполнению работ на объектах АО «ДГК»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357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357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357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spacing w:after="120"/>
        <w:rPr>
          <w:bCs/>
          <w:i/>
          <w:iCs/>
          <w:sz w:val="24"/>
          <w:szCs w:val="24"/>
          <w:shd w:val="clear" w:color="auto" w:fill="ffff99"/>
        </w:rPr>
      </w:pPr>
      <w:r/>
      <w:bookmarkStart w:id="34" w:name="_GoBack"/>
      <w:r/>
      <w:bookmarkEnd w:id="34"/>
      <w:r>
        <w:rPr>
          <w:bCs/>
          <w:i/>
          <w:iCs/>
          <w:sz w:val="24"/>
          <w:szCs w:val="24"/>
          <w:shd w:val="clear" w:color="auto" w:fill="ffff99"/>
        </w:rPr>
      </w:r>
      <w:r>
        <w:rPr>
          <w:bCs/>
          <w:i/>
          <w:iCs/>
          <w:sz w:val="24"/>
          <w:szCs w:val="24"/>
          <w:shd w:val="clear" w:color="auto" w:fill="ffff99"/>
        </w:rPr>
      </w:r>
    </w:p>
    <w:p>
      <w:pPr>
        <w:spacing w:after="120"/>
        <w:rPr>
          <w:bCs/>
          <w:i/>
          <w:iCs/>
          <w:sz w:val="24"/>
          <w:szCs w:val="24"/>
          <w:shd w:val="clear" w:color="auto" w:fill="ffff99"/>
        </w:rPr>
      </w:pPr>
      <w:r>
        <w:rPr>
          <w:bCs/>
          <w:i/>
          <w:iCs/>
          <w:sz w:val="24"/>
          <w:szCs w:val="24"/>
          <w:shd w:val="clear" w:color="auto" w:fill="ffff99"/>
        </w:rPr>
      </w:r>
      <w:r>
        <w:rPr>
          <w:bCs/>
          <w:i/>
          <w:iCs/>
          <w:sz w:val="24"/>
          <w:szCs w:val="24"/>
          <w:shd w:val="clear" w:color="auto" w:fill="ffff99"/>
        </w:rPr>
      </w:r>
      <w:r>
        <w:rPr>
          <w:bCs/>
          <w:i/>
          <w:iCs/>
          <w:sz w:val="24"/>
          <w:szCs w:val="24"/>
          <w:shd w:val="clear" w:color="auto" w:fill="ffff99"/>
        </w:rPr>
      </w:r>
    </w:p>
    <w:p>
      <w:pPr>
        <w:spacing w:after="120"/>
        <w:rPr>
          <w:bCs/>
          <w:i/>
          <w:iCs/>
          <w:sz w:val="24"/>
          <w:szCs w:val="24"/>
          <w:shd w:val="clear" w:color="auto" w:fill="ffff99"/>
        </w:rPr>
      </w:pPr>
      <w:r>
        <w:rPr>
          <w:bCs/>
          <w:i/>
          <w:iCs/>
          <w:sz w:val="24"/>
          <w:szCs w:val="24"/>
          <w:shd w:val="clear" w:color="auto" w:fill="ffff99"/>
        </w:rPr>
      </w:r>
      <w:r>
        <w:rPr>
          <w:bCs/>
          <w:i/>
          <w:iCs/>
          <w:sz w:val="24"/>
          <w:szCs w:val="24"/>
          <w:shd w:val="clear" w:color="auto" w:fill="ffff99"/>
        </w:rPr>
      </w:r>
      <w:r>
        <w:rPr>
          <w:bCs/>
          <w:i/>
          <w:iCs/>
          <w:sz w:val="24"/>
          <w:szCs w:val="24"/>
          <w:shd w:val="clear" w:color="auto" w:fill="ffff99"/>
        </w:rPr>
      </w:r>
    </w:p>
    <w:p>
      <w:pPr>
        <w:spacing w:after="120"/>
        <w:rPr>
          <w:bCs/>
          <w:i/>
          <w:iCs/>
          <w:sz w:val="24"/>
          <w:szCs w:val="24"/>
          <w:shd w:val="clear" w:color="auto" w:fill="ffff99"/>
        </w:rPr>
      </w:pPr>
      <w:r>
        <w:rPr>
          <w:bCs/>
          <w:i/>
          <w:iCs/>
          <w:sz w:val="24"/>
          <w:szCs w:val="24"/>
          <w:shd w:val="clear" w:color="auto" w:fill="ffff99"/>
        </w:rPr>
      </w:r>
      <w:r>
        <w:rPr>
          <w:bCs/>
          <w:i/>
          <w:iCs/>
          <w:sz w:val="24"/>
          <w:szCs w:val="24"/>
          <w:shd w:val="clear" w:color="auto" w:fill="ffff99"/>
        </w:rPr>
      </w:r>
      <w:r>
        <w:rPr>
          <w:bCs/>
          <w:i/>
          <w:iCs/>
          <w:sz w:val="24"/>
          <w:szCs w:val="24"/>
          <w:shd w:val="clear" w:color="auto" w:fill="ffff99"/>
        </w:rPr>
      </w:r>
    </w:p>
    <w:p>
      <w:pPr>
        <w:spacing w:after="120"/>
        <w:rPr>
          <w:bCs/>
          <w:i/>
          <w:iCs/>
          <w:sz w:val="24"/>
          <w:szCs w:val="24"/>
          <w:shd w:val="clear" w:color="auto" w:fill="ffff99"/>
        </w:rPr>
      </w:pPr>
      <w:r>
        <w:rPr>
          <w:bCs/>
          <w:i/>
          <w:iCs/>
          <w:sz w:val="24"/>
          <w:szCs w:val="24"/>
          <w:shd w:val="clear" w:color="auto" w:fill="ffff99"/>
        </w:rPr>
      </w:r>
      <w:r>
        <w:rPr>
          <w:bCs/>
          <w:i/>
          <w:iCs/>
          <w:sz w:val="24"/>
          <w:szCs w:val="24"/>
          <w:shd w:val="clear" w:color="auto" w:fill="ffff99"/>
        </w:rPr>
      </w:r>
      <w:r>
        <w:rPr>
          <w:bCs/>
          <w:i/>
          <w:iCs/>
          <w:sz w:val="24"/>
          <w:szCs w:val="24"/>
          <w:shd w:val="clear" w:color="auto" w:fill="ffff99"/>
        </w:rPr>
      </w:r>
    </w:p>
    <w:p>
      <w:pPr>
        <w:spacing w:after="120"/>
        <w:rPr>
          <w:bCs/>
          <w:i/>
          <w:iCs/>
          <w:sz w:val="24"/>
          <w:szCs w:val="24"/>
          <w:shd w:val="clear" w:color="auto" w:fill="ffff99"/>
        </w:rPr>
      </w:pPr>
      <w:r>
        <w:rPr>
          <w:bCs/>
          <w:i/>
          <w:iCs/>
          <w:sz w:val="24"/>
          <w:szCs w:val="24"/>
          <w:shd w:val="clear" w:color="auto" w:fill="ffff99"/>
        </w:rPr>
      </w:r>
      <w:r>
        <w:rPr>
          <w:bCs/>
          <w:i/>
          <w:iCs/>
          <w:sz w:val="24"/>
          <w:szCs w:val="24"/>
          <w:shd w:val="clear" w:color="auto" w:fill="ffff99"/>
        </w:rPr>
      </w:r>
      <w:r>
        <w:rPr>
          <w:bCs/>
          <w:i/>
          <w:iCs/>
          <w:sz w:val="24"/>
          <w:szCs w:val="24"/>
          <w:shd w:val="clear" w:color="auto" w:fill="ffff99"/>
        </w:rPr>
      </w:r>
    </w:p>
    <w:p>
      <w:pPr>
        <w:spacing w:after="120"/>
        <w:rPr>
          <w:bCs/>
          <w:i/>
          <w:iCs/>
          <w:sz w:val="24"/>
          <w:szCs w:val="24"/>
          <w:shd w:val="clear" w:color="auto" w:fill="ffff99"/>
        </w:rPr>
      </w:pPr>
      <w:r>
        <w:rPr>
          <w:bCs/>
          <w:i/>
          <w:iCs/>
          <w:sz w:val="24"/>
          <w:szCs w:val="24"/>
          <w:shd w:val="clear" w:color="auto" w:fill="ffff99"/>
        </w:rPr>
      </w:r>
      <w:r>
        <w:rPr>
          <w:bCs/>
          <w:i/>
          <w:iCs/>
          <w:sz w:val="24"/>
          <w:szCs w:val="24"/>
          <w:shd w:val="clear" w:color="auto" w:fill="ffff99"/>
        </w:rPr>
      </w:r>
      <w:r>
        <w:rPr>
          <w:bCs/>
          <w:i/>
          <w:iCs/>
          <w:sz w:val="24"/>
          <w:szCs w:val="24"/>
          <w:shd w:val="clear" w:color="auto" w:fill="ffff99"/>
        </w:rPr>
      </w:r>
    </w:p>
    <w:sectPr>
      <w:footnotePr/>
      <w:endnotePr/>
      <w:type w:val="nextPage"/>
      <w:pgSz w:w="11906" w:h="16838" w:orient="portrait"/>
      <w:pgMar w:top="1134" w:right="851" w:bottom="992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 Sans">
    <w:panose1 w:val="020B060603050402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Cambria">
    <w:panose1 w:val="02040803050406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1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19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1"/>
      <w:rPr>
        <w:rStyle w:val="913"/>
      </w:rPr>
      <w:framePr w:wrap="around" w:vAnchor="text" w:hAnchor="margin" w:xAlign="center" w:y="1"/>
    </w:pPr>
    <w:r>
      <w:rPr>
        <w:rStyle w:val="913"/>
      </w:rPr>
      <w:fldChar w:fldCharType="begin"/>
    </w:r>
    <w:r>
      <w:rPr>
        <w:rStyle w:val="913"/>
      </w:rPr>
      <w:instrText xml:space="preserve">PAGE  </w:instrText>
    </w:r>
    <w:r>
      <w:rPr>
        <w:rStyle w:val="913"/>
      </w:rPr>
      <w:fldChar w:fldCharType="separate"/>
    </w:r>
    <w:r>
      <w:rPr>
        <w:rStyle w:val="913"/>
      </w:rPr>
      <w:t xml:space="preserve">6</w:t>
    </w:r>
    <w:r>
      <w:rPr>
        <w:rStyle w:val="913"/>
      </w:rPr>
      <w:fldChar w:fldCharType="end"/>
    </w:r>
    <w:r>
      <w:rPr>
        <w:rStyle w:val="913"/>
      </w:rPr>
    </w:r>
    <w:r>
      <w:rPr>
        <w:rStyle w:val="913"/>
      </w:rPr>
    </w:r>
  </w:p>
  <w:p>
    <w:pPr>
      <w:pStyle w:val="901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1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5" w:hanging="360"/>
      </w:pPr>
      <w:rPr>
        <w:rFonts w:hint="default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5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980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981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984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982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983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decimal"/>
      <w:pStyle w:val="893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894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pStyle w:val="880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883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882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multiLevelType w:val="hybridMultilevel"/>
    <w:styleLink w:val="974"/>
    <w:lvl w:ilvl="0">
      <w:start w:val="1"/>
      <w:numFmt w:val="decimal"/>
      <w:pStyle w:val="974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pStyle w:val="992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4"/>
      <w:numFmt w:val="bullet"/>
      <w:pStyle w:val="961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962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960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 w:cs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styleLink w:val="970"/>
    <w:lvl w:ilvl="0">
      <w:start w:val="3"/>
      <w:numFmt w:val="decimal"/>
      <w:pStyle w:val="970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6"/>
  </w:num>
  <w:num w:numId="4">
    <w:abstractNumId w:val="8"/>
  </w:num>
  <w:num w:numId="5">
    <w:abstractNumId w:val="9"/>
  </w:num>
  <w:num w:numId="6">
    <w:abstractNumId w:val="3"/>
  </w:num>
  <w:num w:numId="7">
    <w:abstractNumId w:val="11"/>
  </w:num>
  <w:num w:numId="8">
    <w:abstractNumId w:val="2"/>
  </w:num>
  <w:num w:numId="9">
    <w:abstractNumId w:val="0"/>
  </w:num>
  <w:num w:numId="10">
    <w:abstractNumId w:val="5"/>
  </w:num>
  <w:num w:numId="11">
    <w:abstractNumId w:val="4"/>
  </w:num>
  <w:num w:numId="12">
    <w:abstractNumId w:val="15"/>
  </w:num>
  <w:num w:numId="13">
    <w:abstractNumId w:val="6"/>
  </w:num>
  <w:num w:numId="14">
    <w:abstractNumId w:val="17"/>
  </w:num>
  <w:num w:numId="15">
    <w:abstractNumId w:val="1"/>
  </w:num>
  <w:num w:numId="16">
    <w:abstractNumId w:val="10"/>
  </w:num>
  <w:num w:numId="17">
    <w:abstractNumId w:val="12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4">
    <w:name w:val="Heading 1 Char"/>
    <w:basedOn w:val="889"/>
    <w:link w:val="880"/>
    <w:uiPriority w:val="9"/>
    <w:rPr>
      <w:rFonts w:ascii="Arial" w:hAnsi="Arial" w:eastAsia="Arial" w:cs="Arial"/>
      <w:sz w:val="40"/>
      <w:szCs w:val="40"/>
    </w:rPr>
  </w:style>
  <w:style w:type="character" w:styleId="735">
    <w:name w:val="Heading 2 Char"/>
    <w:basedOn w:val="889"/>
    <w:link w:val="881"/>
    <w:uiPriority w:val="9"/>
    <w:rPr>
      <w:rFonts w:ascii="Arial" w:hAnsi="Arial" w:eastAsia="Arial" w:cs="Arial"/>
      <w:sz w:val="34"/>
    </w:rPr>
  </w:style>
  <w:style w:type="character" w:styleId="736">
    <w:name w:val="Heading 3 Char"/>
    <w:basedOn w:val="889"/>
    <w:link w:val="882"/>
    <w:uiPriority w:val="9"/>
    <w:rPr>
      <w:rFonts w:ascii="Arial" w:hAnsi="Arial" w:eastAsia="Arial" w:cs="Arial"/>
      <w:sz w:val="30"/>
      <w:szCs w:val="30"/>
    </w:rPr>
  </w:style>
  <w:style w:type="character" w:styleId="737">
    <w:name w:val="Heading 4 Char"/>
    <w:basedOn w:val="889"/>
    <w:link w:val="883"/>
    <w:uiPriority w:val="9"/>
    <w:rPr>
      <w:rFonts w:ascii="Arial" w:hAnsi="Arial" w:eastAsia="Arial" w:cs="Arial"/>
      <w:b/>
      <w:bCs/>
      <w:sz w:val="26"/>
      <w:szCs w:val="26"/>
    </w:rPr>
  </w:style>
  <w:style w:type="character" w:styleId="738">
    <w:name w:val="Heading 5 Char"/>
    <w:basedOn w:val="889"/>
    <w:link w:val="884"/>
    <w:uiPriority w:val="9"/>
    <w:rPr>
      <w:rFonts w:ascii="Arial" w:hAnsi="Arial" w:eastAsia="Arial" w:cs="Arial"/>
      <w:b/>
      <w:bCs/>
      <w:sz w:val="24"/>
      <w:szCs w:val="24"/>
    </w:rPr>
  </w:style>
  <w:style w:type="character" w:styleId="739">
    <w:name w:val="Heading 6 Char"/>
    <w:basedOn w:val="889"/>
    <w:link w:val="885"/>
    <w:uiPriority w:val="9"/>
    <w:rPr>
      <w:rFonts w:ascii="Arial" w:hAnsi="Arial" w:eastAsia="Arial" w:cs="Arial"/>
      <w:b/>
      <w:bCs/>
      <w:sz w:val="22"/>
      <w:szCs w:val="22"/>
    </w:rPr>
  </w:style>
  <w:style w:type="character" w:styleId="740">
    <w:name w:val="Heading 7 Char"/>
    <w:basedOn w:val="889"/>
    <w:link w:val="8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1">
    <w:name w:val="Heading 8 Char"/>
    <w:basedOn w:val="889"/>
    <w:link w:val="887"/>
    <w:uiPriority w:val="9"/>
    <w:rPr>
      <w:rFonts w:ascii="Arial" w:hAnsi="Arial" w:eastAsia="Arial" w:cs="Arial"/>
      <w:i/>
      <w:iCs/>
      <w:sz w:val="22"/>
      <w:szCs w:val="22"/>
    </w:rPr>
  </w:style>
  <w:style w:type="character" w:styleId="742">
    <w:name w:val="Heading 9 Char"/>
    <w:basedOn w:val="889"/>
    <w:link w:val="888"/>
    <w:uiPriority w:val="9"/>
    <w:rPr>
      <w:rFonts w:ascii="Arial" w:hAnsi="Arial" w:eastAsia="Arial" w:cs="Arial"/>
      <w:i/>
      <w:iCs/>
      <w:sz w:val="21"/>
      <w:szCs w:val="21"/>
    </w:rPr>
  </w:style>
  <w:style w:type="paragraph" w:styleId="743">
    <w:name w:val="Title"/>
    <w:basedOn w:val="879"/>
    <w:next w:val="879"/>
    <w:link w:val="74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4">
    <w:name w:val="Title Char"/>
    <w:basedOn w:val="889"/>
    <w:link w:val="743"/>
    <w:uiPriority w:val="10"/>
    <w:rPr>
      <w:sz w:val="48"/>
      <w:szCs w:val="48"/>
    </w:rPr>
  </w:style>
  <w:style w:type="character" w:styleId="745">
    <w:name w:val="Subtitle Char"/>
    <w:basedOn w:val="889"/>
    <w:link w:val="943"/>
    <w:uiPriority w:val="11"/>
    <w:rPr>
      <w:sz w:val="24"/>
      <w:szCs w:val="24"/>
    </w:rPr>
  </w:style>
  <w:style w:type="character" w:styleId="746">
    <w:name w:val="Quote Char"/>
    <w:link w:val="947"/>
    <w:uiPriority w:val="29"/>
    <w:rPr>
      <w:i/>
    </w:rPr>
  </w:style>
  <w:style w:type="character" w:styleId="747">
    <w:name w:val="Intense Quote Char"/>
    <w:link w:val="949"/>
    <w:uiPriority w:val="30"/>
    <w:rPr>
      <w:i/>
    </w:rPr>
  </w:style>
  <w:style w:type="character" w:styleId="748">
    <w:name w:val="Header Char"/>
    <w:basedOn w:val="889"/>
    <w:link w:val="901"/>
    <w:uiPriority w:val="99"/>
  </w:style>
  <w:style w:type="character" w:styleId="749">
    <w:name w:val="Footer Char"/>
    <w:basedOn w:val="889"/>
    <w:link w:val="904"/>
    <w:uiPriority w:val="99"/>
  </w:style>
  <w:style w:type="character" w:styleId="750">
    <w:name w:val="Caption Char"/>
    <w:basedOn w:val="889"/>
    <w:link w:val="941"/>
    <w:uiPriority w:val="35"/>
    <w:rPr>
      <w:b/>
      <w:bCs/>
      <w:color w:val="4f81bd" w:themeColor="accent1"/>
      <w:sz w:val="18"/>
      <w:szCs w:val="18"/>
    </w:rPr>
  </w:style>
  <w:style w:type="table" w:styleId="751">
    <w:name w:val="Table Grid Light"/>
    <w:basedOn w:val="89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2">
    <w:name w:val="Plain Table 1"/>
    <w:basedOn w:val="89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3">
    <w:name w:val="Plain Table 2"/>
    <w:basedOn w:val="89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4">
    <w:name w:val="Plain Table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5">
    <w:name w:val="Plain Table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Plain Table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7">
    <w:name w:val="Grid Table 1 Light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Grid Table 1 Light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1 Light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Grid Table 1 Light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Grid Table 1 Light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Grid Table 1 Light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Grid Table 1 Light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Grid Table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2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2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2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2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2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2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3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3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3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3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3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4"/>
    <w:basedOn w:val="8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9">
    <w:name w:val="Grid Table 4 - Accent 1"/>
    <w:basedOn w:val="8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0">
    <w:name w:val="Grid Table 4 - Accent 2"/>
    <w:basedOn w:val="8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Grid Table 4 - Accent 3"/>
    <w:basedOn w:val="8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2">
    <w:name w:val="Grid Table 4 - Accent 4"/>
    <w:basedOn w:val="8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Grid Table 4 - Accent 5"/>
    <w:basedOn w:val="8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4">
    <w:name w:val="Grid Table 4 - Accent 6"/>
    <w:basedOn w:val="8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5">
    <w:name w:val="Grid Table 5 Dark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6">
    <w:name w:val="Grid Table 5 Dark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87">
    <w:name w:val="Grid Table 5 Dark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88">
    <w:name w:val="Grid Table 5 Dark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89">
    <w:name w:val="Grid Table 5 Dark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90">
    <w:name w:val="Grid Table 5 Dark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791">
    <w:name w:val="Grid Table 5 Dark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92">
    <w:name w:val="Grid Table 6 Colorful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93">
    <w:name w:val="Grid Table 6 Colorful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4">
    <w:name w:val="Grid Table 6 Colorful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5">
    <w:name w:val="Grid Table 6 Colorful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6">
    <w:name w:val="Grid Table 6 Colorful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7">
    <w:name w:val="Grid Table 6 Colorful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8">
    <w:name w:val="Grid Table 6 Colorful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9">
    <w:name w:val="Grid Table 7 Colorful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7 Colorful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7 Colorful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7 Colorful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7 Colorful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7 Colorful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7 Colorful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1 Light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1 Light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1 Light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List Table 1 Light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List Table 1 Light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List Table 1 Light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List Table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4">
    <w:name w:val="List Table 2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5">
    <w:name w:val="List Table 2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6">
    <w:name w:val="List Table 2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7">
    <w:name w:val="List Table 2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8">
    <w:name w:val="List Table 2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9">
    <w:name w:val="List Table 2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20">
    <w:name w:val="List Table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3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3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3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3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3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3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4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4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4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4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4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5 Dark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5">
    <w:name w:val="List Table 5 Dark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6">
    <w:name w:val="List Table 5 Dark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7">
    <w:name w:val="List Table 5 Dark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8">
    <w:name w:val="List Table 5 Dark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9">
    <w:name w:val="List Table 5 Dark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0">
    <w:name w:val="List Table 5 Dark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1">
    <w:name w:val="List Table 6 Colorful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42">
    <w:name w:val="List Table 6 Colorful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43">
    <w:name w:val="List Table 6 Colorful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4">
    <w:name w:val="List Table 6 Colorful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5">
    <w:name w:val="List Table 6 Colorful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6">
    <w:name w:val="List Table 6 Colorful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7">
    <w:name w:val="List Table 6 Colorful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8">
    <w:name w:val="List Table 7 Colorful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9">
    <w:name w:val="List Table 7 Colorful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850">
    <w:name w:val="List Table 7 Colorful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51">
    <w:name w:val="List Table 7 Colorful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52">
    <w:name w:val="List Table 7 Colorful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53">
    <w:name w:val="List Table 7 Colorful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854">
    <w:name w:val="List Table 7 Colorful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55">
    <w:name w:val="Lined - Accent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6">
    <w:name w:val="Lined - Accent 1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57">
    <w:name w:val="Lined - Accent 2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58">
    <w:name w:val="Lined - Accent 3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59">
    <w:name w:val="Lined - Accent 4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60">
    <w:name w:val="Lined - Accent 5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61">
    <w:name w:val="Lined - Accent 6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62">
    <w:name w:val="Bordered &amp; Lined - Accent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3">
    <w:name w:val="Bordered &amp; Lined - Accent 1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64">
    <w:name w:val="Bordered &amp; Lined - Accent 2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65">
    <w:name w:val="Bordered &amp; Lined - Accent 3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66">
    <w:name w:val="Bordered &amp; Lined - Accent 4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67">
    <w:name w:val="Bordered &amp; Lined - Accent 5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68">
    <w:name w:val="Bordered &amp; Lined - Accent 6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69">
    <w:name w:val="Bordered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70">
    <w:name w:val="Bordered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71">
    <w:name w:val="Bordered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72">
    <w:name w:val="Bordered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73">
    <w:name w:val="Bordered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4">
    <w:name w:val="Bordered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5">
    <w:name w:val="Bordered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76">
    <w:name w:val="Footnote Text Char"/>
    <w:link w:val="895"/>
    <w:uiPriority w:val="99"/>
    <w:rPr>
      <w:sz w:val="18"/>
    </w:rPr>
  </w:style>
  <w:style w:type="character" w:styleId="877">
    <w:name w:val="Endnote Text Char"/>
    <w:link w:val="989"/>
    <w:uiPriority w:val="99"/>
    <w:rPr>
      <w:sz w:val="20"/>
    </w:rPr>
  </w:style>
  <w:style w:type="paragraph" w:styleId="878">
    <w:name w:val="table of figures"/>
    <w:basedOn w:val="879"/>
    <w:next w:val="879"/>
    <w:uiPriority w:val="99"/>
    <w:unhideWhenUsed/>
    <w:pPr>
      <w:spacing w:after="0" w:afterAutospacing="0"/>
    </w:pPr>
  </w:style>
  <w:style w:type="paragraph" w:styleId="879" w:default="1">
    <w:name w:val="Normal"/>
    <w:qFormat/>
    <w:rPr>
      <w:sz w:val="28"/>
      <w:szCs w:val="28"/>
    </w:rPr>
  </w:style>
  <w:style w:type="paragraph" w:styleId="880">
    <w:name w:val="Heading 1"/>
    <w:basedOn w:val="882"/>
    <w:next w:val="879"/>
    <w:link w:val="933"/>
    <w:qFormat/>
    <w:pPr>
      <w:numPr>
        <w:ilvl w:val="0"/>
      </w:numPr>
      <w:outlineLvl w:val="0"/>
    </w:pPr>
    <w:rPr>
      <w:sz w:val="28"/>
      <w:szCs w:val="28"/>
    </w:rPr>
  </w:style>
  <w:style w:type="paragraph" w:styleId="881">
    <w:name w:val="Heading 2"/>
    <w:basedOn w:val="883"/>
    <w:next w:val="879"/>
    <w:link w:val="935"/>
    <w:qFormat/>
    <w:pPr>
      <w:outlineLvl w:val="1"/>
    </w:pPr>
  </w:style>
  <w:style w:type="paragraph" w:styleId="882">
    <w:name w:val="Heading 3"/>
    <w:basedOn w:val="879"/>
    <w:next w:val="879"/>
    <w:link w:val="936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883">
    <w:name w:val="Heading 4"/>
    <w:basedOn w:val="882"/>
    <w:next w:val="879"/>
    <w:link w:val="937"/>
    <w:qFormat/>
    <w:pPr>
      <w:numPr>
        <w:ilvl w:val="1"/>
      </w:numPr>
      <w:outlineLvl w:val="3"/>
    </w:pPr>
    <w:rPr>
      <w:bCs/>
    </w:rPr>
  </w:style>
  <w:style w:type="paragraph" w:styleId="884">
    <w:name w:val="Heading 5"/>
    <w:basedOn w:val="879"/>
    <w:next w:val="879"/>
    <w:link w:val="938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85">
    <w:name w:val="Heading 6"/>
    <w:basedOn w:val="879"/>
    <w:next w:val="879"/>
    <w:link w:val="930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886">
    <w:name w:val="Heading 7"/>
    <w:basedOn w:val="879"/>
    <w:next w:val="879"/>
    <w:link w:val="931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87">
    <w:name w:val="Heading 8"/>
    <w:basedOn w:val="879"/>
    <w:next w:val="879"/>
    <w:link w:val="932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888">
    <w:name w:val="Heading 9"/>
    <w:basedOn w:val="879"/>
    <w:next w:val="879"/>
    <w:link w:val="939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889" w:default="1">
    <w:name w:val="Default Paragraph Font"/>
    <w:uiPriority w:val="1"/>
    <w:semiHidden/>
    <w:unhideWhenUsed/>
  </w:style>
  <w:style w:type="table" w:styleId="89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91" w:default="1">
    <w:name w:val="No List"/>
    <w:uiPriority w:val="99"/>
    <w:semiHidden/>
    <w:unhideWhenUsed/>
  </w:style>
  <w:style w:type="paragraph" w:styleId="892" w:customStyle="1">
    <w:name w:val="Название раздела инструкции"/>
    <w:basedOn w:val="879"/>
    <w:pPr>
      <w:jc w:val="center"/>
    </w:pPr>
    <w:rPr>
      <w:b/>
    </w:rPr>
  </w:style>
  <w:style w:type="paragraph" w:styleId="893" w:customStyle="1">
    <w:name w:val="Раздел положения"/>
    <w:basedOn w:val="879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894" w:customStyle="1">
    <w:name w:val="Подраздел раздела положения"/>
    <w:basedOn w:val="879"/>
    <w:pPr>
      <w:numPr>
        <w:ilvl w:val="1"/>
        <w:numId w:val="1"/>
      </w:numPr>
      <w:jc w:val="both"/>
      <w:spacing w:before="80" w:after="80"/>
    </w:pPr>
  </w:style>
  <w:style w:type="paragraph" w:styleId="895">
    <w:name w:val="footnote text"/>
    <w:basedOn w:val="879"/>
    <w:link w:val="969"/>
    <w:uiPriority w:val="99"/>
    <w:rPr>
      <w:sz w:val="20"/>
      <w:szCs w:val="20"/>
    </w:rPr>
  </w:style>
  <w:style w:type="character" w:styleId="896">
    <w:name w:val="footnote reference"/>
    <w:rPr>
      <w:vertAlign w:val="superscript"/>
    </w:rPr>
  </w:style>
  <w:style w:type="paragraph" w:styleId="897" w:customStyle="1">
    <w:name w:val="Шапка 1"/>
    <w:basedOn w:val="879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898" w:customStyle="1">
    <w:name w:val="Шапка 2"/>
    <w:basedOn w:val="879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899" w:customStyle="1">
    <w:name w:val="Шапка 3"/>
    <w:basedOn w:val="879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00" w:customStyle="1">
    <w:name w:val="Название1"/>
    <w:basedOn w:val="879"/>
    <w:link w:val="942"/>
    <w:uiPriority w:val="10"/>
    <w:qFormat/>
    <w:pPr>
      <w:jc w:val="center"/>
    </w:pPr>
    <w:rPr>
      <w:szCs w:val="20"/>
    </w:rPr>
  </w:style>
  <w:style w:type="paragraph" w:styleId="901">
    <w:name w:val="Header"/>
    <w:basedOn w:val="879"/>
    <w:link w:val="986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02">
    <w:name w:val="Body Text Indent"/>
    <w:basedOn w:val="879"/>
    <w:pPr>
      <w:ind w:left="360"/>
    </w:pPr>
    <w:rPr>
      <w:sz w:val="24"/>
      <w:szCs w:val="24"/>
    </w:rPr>
  </w:style>
  <w:style w:type="table" w:styleId="903">
    <w:name w:val="Table Grid"/>
    <w:basedOn w:val="890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04">
    <w:name w:val="Footer"/>
    <w:basedOn w:val="879"/>
    <w:pPr>
      <w:tabs>
        <w:tab w:val="center" w:pos="4677" w:leader="none"/>
        <w:tab w:val="right" w:pos="9355" w:leader="none"/>
      </w:tabs>
    </w:pPr>
  </w:style>
  <w:style w:type="paragraph" w:styleId="905">
    <w:name w:val="Body Text"/>
    <w:basedOn w:val="879"/>
    <w:link w:val="972"/>
    <w:pPr>
      <w:spacing w:after="120"/>
    </w:pPr>
  </w:style>
  <w:style w:type="paragraph" w:styleId="906">
    <w:name w:val="Body Text Indent 2"/>
    <w:basedOn w:val="879"/>
    <w:pPr>
      <w:ind w:left="283"/>
      <w:spacing w:after="120" w:line="480" w:lineRule="auto"/>
    </w:pPr>
  </w:style>
  <w:style w:type="paragraph" w:styleId="907">
    <w:name w:val="Body Text 3"/>
    <w:basedOn w:val="879"/>
    <w:pPr>
      <w:spacing w:after="120"/>
    </w:pPr>
    <w:rPr>
      <w:sz w:val="16"/>
      <w:szCs w:val="16"/>
    </w:rPr>
  </w:style>
  <w:style w:type="paragraph" w:styleId="908">
    <w:name w:val="Body Text Indent 3"/>
    <w:basedOn w:val="879"/>
    <w:link w:val="1003"/>
    <w:pPr>
      <w:ind w:left="283"/>
      <w:spacing w:after="120"/>
    </w:pPr>
    <w:rPr>
      <w:sz w:val="16"/>
      <w:szCs w:val="16"/>
    </w:rPr>
  </w:style>
  <w:style w:type="paragraph" w:styleId="909">
    <w:name w:val="Body Text 2"/>
    <w:basedOn w:val="879"/>
    <w:pPr>
      <w:spacing w:after="120" w:line="480" w:lineRule="auto"/>
    </w:pPr>
  </w:style>
  <w:style w:type="paragraph" w:styleId="910">
    <w:name w:val="Block Text"/>
    <w:basedOn w:val="879"/>
    <w:pPr>
      <w:ind w:left="-567" w:right="-766"/>
      <w:jc w:val="center"/>
    </w:pPr>
    <w:rPr>
      <w:b/>
      <w:bCs/>
      <w:sz w:val="24"/>
      <w:szCs w:val="20"/>
    </w:rPr>
  </w:style>
  <w:style w:type="paragraph" w:styleId="911" w:customStyle="1">
    <w:name w:val="Подпункт"/>
    <w:basedOn w:val="879"/>
    <w:link w:val="967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12" w:customStyle="1">
    <w:name w:val="Пункт2"/>
    <w:basedOn w:val="879"/>
    <w:link w:val="993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13">
    <w:name w:val="page number"/>
    <w:basedOn w:val="889"/>
  </w:style>
  <w:style w:type="paragraph" w:styleId="914">
    <w:name w:val="toc 1"/>
    <w:basedOn w:val="879"/>
    <w:next w:val="879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915">
    <w:name w:val="toc 3"/>
    <w:basedOn w:val="879"/>
    <w:next w:val="879"/>
    <w:uiPriority w:val="39"/>
    <w:pPr>
      <w:ind w:left="280"/>
    </w:pPr>
    <w:rPr>
      <w:rFonts w:cstheme="minorHAnsi"/>
      <w:sz w:val="20"/>
      <w:szCs w:val="20"/>
    </w:rPr>
  </w:style>
  <w:style w:type="character" w:styleId="916">
    <w:name w:val="Hyperlink"/>
    <w:uiPriority w:val="99"/>
    <w:rPr>
      <w:color w:val="0000ff"/>
      <w:u w:val="single"/>
    </w:rPr>
  </w:style>
  <w:style w:type="paragraph" w:styleId="917" w:customStyle="1">
    <w:name w:val="Раздел регламента"/>
    <w:basedOn w:val="879"/>
  </w:style>
  <w:style w:type="paragraph" w:styleId="918" w:customStyle="1">
    <w:name w:val="Приложение к регламенту"/>
    <w:basedOn w:val="879"/>
    <w:pPr>
      <w:jc w:val="right"/>
    </w:pPr>
  </w:style>
  <w:style w:type="paragraph" w:styleId="919">
    <w:name w:val="toc 2"/>
    <w:basedOn w:val="879"/>
    <w:next w:val="879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20">
    <w:name w:val="Balloon Text"/>
    <w:basedOn w:val="879"/>
    <w:semiHidden/>
    <w:rPr>
      <w:rFonts w:ascii="Tahoma" w:hAnsi="Tahoma" w:cs="Tahoma"/>
      <w:sz w:val="16"/>
      <w:szCs w:val="16"/>
    </w:rPr>
  </w:style>
  <w:style w:type="character" w:styleId="921">
    <w:name w:val="annotation reference"/>
    <w:uiPriority w:val="99"/>
    <w:semiHidden/>
    <w:rPr>
      <w:sz w:val="16"/>
      <w:szCs w:val="16"/>
    </w:rPr>
  </w:style>
  <w:style w:type="paragraph" w:styleId="922">
    <w:name w:val="annotation text"/>
    <w:basedOn w:val="879"/>
    <w:link w:val="987"/>
    <w:semiHidden/>
    <w:rPr>
      <w:sz w:val="20"/>
      <w:szCs w:val="20"/>
    </w:rPr>
  </w:style>
  <w:style w:type="paragraph" w:styleId="923">
    <w:name w:val="annotation subject"/>
    <w:basedOn w:val="922"/>
    <w:next w:val="922"/>
    <w:semiHidden/>
    <w:rPr>
      <w:b/>
      <w:bCs/>
    </w:rPr>
  </w:style>
  <w:style w:type="paragraph" w:styleId="924" w:customStyle="1">
    <w:name w:val="Обычный (веб)1"/>
    <w:basedOn w:val="879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25">
    <w:name w:val="toc 9"/>
    <w:basedOn w:val="879"/>
    <w:next w:val="879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26">
    <w:name w:val="toc 5"/>
    <w:basedOn w:val="879"/>
    <w:next w:val="879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27">
    <w:name w:val="toc 4"/>
    <w:basedOn w:val="879"/>
    <w:next w:val="879"/>
    <w:uiPriority w:val="39"/>
    <w:pPr>
      <w:ind w:left="560"/>
    </w:pPr>
    <w:rPr>
      <w:rFonts w:cstheme="minorHAnsi"/>
      <w:sz w:val="20"/>
      <w:szCs w:val="20"/>
    </w:rPr>
  </w:style>
  <w:style w:type="paragraph" w:styleId="928" w:customStyle="1">
    <w:name w:val="Раздел положения 2"/>
    <w:basedOn w:val="879"/>
    <w:pPr>
      <w:jc w:val="both"/>
      <w:pageBreakBefore/>
      <w:outlineLvl w:val="0"/>
    </w:pPr>
    <w:rPr>
      <w:b/>
    </w:rPr>
  </w:style>
  <w:style w:type="character" w:styleId="929">
    <w:name w:val="Strong"/>
    <w:qFormat/>
    <w:rPr>
      <w:b/>
      <w:bCs/>
    </w:rPr>
  </w:style>
  <w:style w:type="character" w:styleId="930" w:customStyle="1">
    <w:name w:val="Заголовок 6 Знак"/>
    <w:link w:val="885"/>
    <w:uiPriority w:val="9"/>
    <w:rPr>
      <w:rFonts w:ascii="Cambria" w:hAnsi="Cambria"/>
      <w:i/>
      <w:iCs/>
      <w:color w:val="243f60"/>
    </w:rPr>
  </w:style>
  <w:style w:type="character" w:styleId="931" w:customStyle="1">
    <w:name w:val="Заголовок 7 Знак"/>
    <w:link w:val="886"/>
    <w:uiPriority w:val="9"/>
    <w:rPr>
      <w:rFonts w:ascii="Cambria" w:hAnsi="Cambria"/>
      <w:i/>
      <w:iCs/>
      <w:color w:val="404040"/>
    </w:rPr>
  </w:style>
  <w:style w:type="character" w:styleId="932" w:customStyle="1">
    <w:name w:val="Заголовок 8 Знак"/>
    <w:link w:val="887"/>
    <w:uiPriority w:val="9"/>
    <w:rPr>
      <w:rFonts w:ascii="Cambria" w:hAnsi="Cambria"/>
      <w:color w:val="4f81bd"/>
    </w:rPr>
  </w:style>
  <w:style w:type="character" w:styleId="933" w:customStyle="1">
    <w:name w:val="Заголовок 1 Знак"/>
    <w:link w:val="880"/>
    <w:rPr>
      <w:rFonts w:eastAsia="Calibri"/>
      <w:b/>
      <w:sz w:val="28"/>
      <w:szCs w:val="28"/>
    </w:rPr>
  </w:style>
  <w:style w:type="paragraph" w:styleId="934" w:customStyle="1">
    <w:name w:val="Знак Знак Знак Знак Знак Знак Знак Знак Знак"/>
    <w:basedOn w:val="879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35" w:customStyle="1">
    <w:name w:val="Заголовок 2 Знак"/>
    <w:link w:val="881"/>
    <w:rPr>
      <w:rFonts w:eastAsia="Calibri"/>
      <w:b/>
      <w:bCs/>
      <w:sz w:val="24"/>
      <w:szCs w:val="24"/>
    </w:rPr>
  </w:style>
  <w:style w:type="character" w:styleId="936" w:customStyle="1">
    <w:name w:val="Заголовок 3 Знак"/>
    <w:link w:val="882"/>
    <w:rPr>
      <w:rFonts w:eastAsia="Calibri"/>
      <w:b/>
      <w:sz w:val="24"/>
      <w:szCs w:val="24"/>
    </w:rPr>
  </w:style>
  <w:style w:type="character" w:styleId="937" w:customStyle="1">
    <w:name w:val="Заголовок 4 Знак"/>
    <w:link w:val="883"/>
    <w:rPr>
      <w:rFonts w:eastAsia="Calibri"/>
      <w:b/>
      <w:bCs/>
      <w:sz w:val="24"/>
      <w:szCs w:val="24"/>
    </w:rPr>
  </w:style>
  <w:style w:type="character" w:styleId="938" w:customStyle="1">
    <w:name w:val="Заголовок 5 Знак"/>
    <w:link w:val="884"/>
    <w:uiPriority w:val="9"/>
    <w:rPr>
      <w:b/>
      <w:bCs/>
      <w:i/>
      <w:iCs/>
      <w:sz w:val="26"/>
      <w:szCs w:val="26"/>
    </w:rPr>
  </w:style>
  <w:style w:type="character" w:styleId="939" w:customStyle="1">
    <w:name w:val="Заголовок 9 Знак"/>
    <w:link w:val="888"/>
    <w:uiPriority w:val="9"/>
    <w:rPr>
      <w:rFonts w:ascii="Arial" w:hAnsi="Arial" w:cs="Arial"/>
      <w:sz w:val="22"/>
      <w:szCs w:val="22"/>
    </w:rPr>
  </w:style>
  <w:style w:type="paragraph" w:styleId="940">
    <w:name w:val="No Spacing"/>
    <w:basedOn w:val="879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41">
    <w:name w:val="Caption"/>
    <w:basedOn w:val="879"/>
    <w:next w:val="879"/>
    <w:link w:val="750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42" w:customStyle="1">
    <w:name w:val="Название Знак"/>
    <w:link w:val="900"/>
    <w:uiPriority w:val="10"/>
    <w:rPr>
      <w:sz w:val="28"/>
    </w:rPr>
  </w:style>
  <w:style w:type="paragraph" w:styleId="943">
    <w:name w:val="Subtitle"/>
    <w:basedOn w:val="879"/>
    <w:next w:val="879"/>
    <w:link w:val="944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44" w:customStyle="1">
    <w:name w:val="Подзаголовок Знак"/>
    <w:link w:val="943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45">
    <w:name w:val="Emphasis"/>
    <w:uiPriority w:val="20"/>
    <w:qFormat/>
    <w:rPr>
      <w:i/>
      <w:iCs/>
    </w:rPr>
  </w:style>
  <w:style w:type="paragraph" w:styleId="946">
    <w:name w:val="List Paragraph"/>
    <w:basedOn w:val="879"/>
    <w:link w:val="976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947">
    <w:name w:val="Quote"/>
    <w:basedOn w:val="879"/>
    <w:next w:val="879"/>
    <w:link w:val="948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948" w:customStyle="1">
    <w:name w:val="Цитата 2 Знак"/>
    <w:link w:val="947"/>
    <w:uiPriority w:val="29"/>
    <w:rPr>
      <w:rFonts w:ascii="Calibri" w:hAnsi="Calibri" w:eastAsia="Calibri"/>
      <w:i/>
      <w:iCs/>
      <w:color w:val="000000"/>
    </w:rPr>
  </w:style>
  <w:style w:type="paragraph" w:styleId="949">
    <w:name w:val="Intense Quote"/>
    <w:basedOn w:val="879"/>
    <w:next w:val="879"/>
    <w:link w:val="950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950" w:customStyle="1">
    <w:name w:val="Выделенная цитата Знак"/>
    <w:link w:val="949"/>
    <w:uiPriority w:val="30"/>
    <w:rPr>
      <w:rFonts w:ascii="Calibri" w:hAnsi="Calibri" w:eastAsia="Calibri"/>
      <w:b/>
      <w:bCs/>
      <w:i/>
      <w:iCs/>
      <w:color w:val="4f81bd"/>
    </w:rPr>
  </w:style>
  <w:style w:type="character" w:styleId="951">
    <w:name w:val="Subtle Emphasis"/>
    <w:uiPriority w:val="19"/>
    <w:qFormat/>
    <w:rPr>
      <w:i/>
      <w:iCs/>
      <w:color w:val="808080"/>
    </w:rPr>
  </w:style>
  <w:style w:type="character" w:styleId="952">
    <w:name w:val="Intense Emphasis"/>
    <w:uiPriority w:val="21"/>
    <w:qFormat/>
    <w:rPr>
      <w:b/>
      <w:bCs/>
      <w:i/>
      <w:iCs/>
      <w:color w:val="4f81bd"/>
    </w:rPr>
  </w:style>
  <w:style w:type="character" w:styleId="953">
    <w:name w:val="Subtle Reference"/>
    <w:uiPriority w:val="31"/>
    <w:qFormat/>
    <w:rPr>
      <w:smallCaps/>
      <w:color w:val="c0504d"/>
      <w:u w:val="single"/>
    </w:rPr>
  </w:style>
  <w:style w:type="character" w:styleId="954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55">
    <w:name w:val="Book Title"/>
    <w:uiPriority w:val="33"/>
    <w:qFormat/>
    <w:rPr>
      <w:b/>
      <w:bCs/>
      <w:smallCaps/>
      <w:spacing w:val="5"/>
    </w:rPr>
  </w:style>
  <w:style w:type="paragraph" w:styleId="956">
    <w:name w:val="TOC Heading"/>
    <w:basedOn w:val="880"/>
    <w:next w:val="879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957">
    <w:name w:val="E-mail Signature"/>
    <w:basedOn w:val="879"/>
    <w:link w:val="958"/>
    <w:uiPriority w:val="99"/>
    <w:unhideWhenUsed/>
    <w:rPr>
      <w:rFonts w:eastAsia="Calibri"/>
      <w:sz w:val="24"/>
      <w:szCs w:val="24"/>
    </w:rPr>
  </w:style>
  <w:style w:type="character" w:styleId="958" w:customStyle="1">
    <w:name w:val="Электронная подпись Знак"/>
    <w:link w:val="957"/>
    <w:uiPriority w:val="99"/>
    <w:rPr>
      <w:rFonts w:eastAsia="Calibri"/>
      <w:sz w:val="24"/>
      <w:szCs w:val="24"/>
    </w:rPr>
  </w:style>
  <w:style w:type="paragraph" w:styleId="959" w:customStyle="1">
    <w:name w:val="Знак"/>
    <w:basedOn w:val="87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60" w:customStyle="1">
    <w:name w:val="Нумерованный список ур3"/>
    <w:basedOn w:val="879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61" w:customStyle="1">
    <w:name w:val="Нумерованный список 1"/>
    <w:basedOn w:val="879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62" w:customStyle="1">
    <w:name w:val="Нумерованный список ур2"/>
    <w:basedOn w:val="879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63">
    <w:name w:val="Revision"/>
    <w:hidden/>
    <w:uiPriority w:val="99"/>
    <w:semiHidden/>
    <w:rPr>
      <w:rFonts w:eastAsia="Calibri"/>
      <w:sz w:val="24"/>
      <w:szCs w:val="24"/>
    </w:rPr>
  </w:style>
  <w:style w:type="paragraph" w:styleId="964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965" w:customStyle="1">
    <w:name w:val="Знак Знак3 Знак Знак"/>
    <w:basedOn w:val="879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66" w:customStyle="1">
    <w:name w:val="Пункт"/>
    <w:basedOn w:val="879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967" w:customStyle="1">
    <w:name w:val="Подпункт Знак1"/>
    <w:link w:val="911"/>
    <w:rPr>
      <w:sz w:val="28"/>
    </w:rPr>
  </w:style>
  <w:style w:type="paragraph" w:styleId="968" w:customStyle="1">
    <w:name w:val="Абзац списка1"/>
    <w:basedOn w:val="879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969" w:customStyle="1">
    <w:name w:val="Текст сноски Знак"/>
    <w:link w:val="895"/>
    <w:uiPriority w:val="99"/>
  </w:style>
  <w:style w:type="numbering" w:styleId="970" w:customStyle="1">
    <w:name w:val="Стиль1"/>
    <w:uiPriority w:val="99"/>
    <w:pPr>
      <w:numPr>
        <w:ilvl w:val="0"/>
        <w:numId w:val="3"/>
      </w:numPr>
    </w:pPr>
  </w:style>
  <w:style w:type="paragraph" w:styleId="971" w:customStyle="1">
    <w:name w:val="Таблица"/>
    <w:basedOn w:val="879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972" w:customStyle="1">
    <w:name w:val="Основной текст Знак"/>
    <w:link w:val="905"/>
    <w:rPr>
      <w:sz w:val="28"/>
      <w:szCs w:val="28"/>
    </w:rPr>
  </w:style>
  <w:style w:type="character" w:styleId="973" w:customStyle="1">
    <w:name w:val="blk"/>
  </w:style>
  <w:style w:type="numbering" w:styleId="974" w:customStyle="1">
    <w:name w:val="Стиль2"/>
    <w:uiPriority w:val="99"/>
    <w:pPr>
      <w:numPr>
        <w:ilvl w:val="0"/>
        <w:numId w:val="5"/>
      </w:numPr>
    </w:pPr>
  </w:style>
  <w:style w:type="paragraph" w:styleId="975" w:customStyle="1">
    <w:name w:val="Таблица шапка"/>
    <w:basedOn w:val="879"/>
    <w:pPr>
      <w:ind w:left="57" w:right="57"/>
      <w:keepNext/>
      <w:spacing w:before="40" w:after="40"/>
    </w:pPr>
    <w:rPr>
      <w:sz w:val="22"/>
      <w:szCs w:val="26"/>
    </w:rPr>
  </w:style>
  <w:style w:type="character" w:styleId="976" w:customStyle="1">
    <w:name w:val="Абзац списка Знак"/>
    <w:link w:val="946"/>
    <w:uiPriority w:val="34"/>
    <w:rPr>
      <w:rFonts w:eastAsia="Calibri"/>
      <w:sz w:val="24"/>
      <w:szCs w:val="24"/>
    </w:rPr>
  </w:style>
  <w:style w:type="character" w:styleId="977" w:customStyle="1">
    <w:name w:val="комментарий"/>
    <w:rPr>
      <w:b/>
      <w:i/>
      <w:shd w:val="clear" w:color="auto" w:fill="ffff99"/>
    </w:rPr>
  </w:style>
  <w:style w:type="paragraph" w:styleId="978" w:customStyle="1">
    <w:name w:val="Подподпункт"/>
    <w:basedOn w:val="911"/>
    <w:link w:val="979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  <w:lang w:val="ru-RU" w:eastAsia="ru-RU"/>
    </w:rPr>
  </w:style>
  <w:style w:type="character" w:styleId="979" w:customStyle="1">
    <w:name w:val="Подподпункт Знак"/>
    <w:link w:val="978"/>
    <w:rPr>
      <w:sz w:val="26"/>
      <w:szCs w:val="26"/>
    </w:rPr>
  </w:style>
  <w:style w:type="paragraph" w:styleId="980" w:customStyle="1">
    <w:name w:val="УРОВЕНЬ_(а)"/>
    <w:basedOn w:val="946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981" w:customStyle="1">
    <w:name w:val="УРОВЕНЬ_-"/>
    <w:basedOn w:val="946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982" w:customStyle="1">
    <w:name w:val="УРОВЕНЬ_Абзац_тип2"/>
    <w:basedOn w:val="946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83" w:customStyle="1">
    <w:name w:val="УРОВЕНЬ_Абзац_тип3"/>
    <w:basedOn w:val="946"/>
    <w:link w:val="985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84" w:customStyle="1">
    <w:name w:val="УРОВЕНЬ_Подпись"/>
    <w:basedOn w:val="946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985" w:customStyle="1">
    <w:name w:val="УРОВЕНЬ_Абзац_тип3 Знак"/>
    <w:link w:val="983"/>
    <w:rPr>
      <w:rFonts w:eastAsia="Calibri"/>
      <w:sz w:val="26"/>
      <w:szCs w:val="28"/>
      <w:lang w:eastAsia="en-US"/>
    </w:rPr>
  </w:style>
  <w:style w:type="character" w:styleId="986" w:customStyle="1">
    <w:name w:val="Верхний колонтитул Знак"/>
    <w:link w:val="901"/>
    <w:uiPriority w:val="99"/>
    <w:rPr>
      <w:sz w:val="24"/>
      <w:szCs w:val="24"/>
    </w:rPr>
  </w:style>
  <w:style w:type="character" w:styleId="987" w:customStyle="1">
    <w:name w:val="Текст примечания Знак"/>
    <w:link w:val="922"/>
    <w:semiHidden/>
  </w:style>
  <w:style w:type="paragraph" w:styleId="988" w:customStyle="1">
    <w:name w:val="Стиль Заголовок 1 + по ширине"/>
    <w:basedOn w:val="880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989">
    <w:name w:val="endnote text"/>
    <w:basedOn w:val="879"/>
    <w:link w:val="990"/>
    <w:rPr>
      <w:sz w:val="20"/>
      <w:szCs w:val="20"/>
    </w:rPr>
  </w:style>
  <w:style w:type="character" w:styleId="990" w:customStyle="1">
    <w:name w:val="Текст концевой сноски Знак"/>
    <w:basedOn w:val="889"/>
    <w:link w:val="989"/>
  </w:style>
  <w:style w:type="character" w:styleId="991">
    <w:name w:val="endnote reference"/>
    <w:basedOn w:val="889"/>
    <w:rPr>
      <w:vertAlign w:val="superscript"/>
    </w:rPr>
  </w:style>
  <w:style w:type="paragraph" w:styleId="992" w:customStyle="1">
    <w:name w:val="Заголовок 2 КВВ"/>
    <w:basedOn w:val="879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993" w:customStyle="1">
    <w:name w:val="Пункт2 Знак"/>
    <w:link w:val="912"/>
    <w:rPr>
      <w:b/>
      <w:sz w:val="28"/>
    </w:rPr>
  </w:style>
  <w:style w:type="paragraph" w:styleId="994" w:customStyle="1">
    <w:name w:val="Таблица текст"/>
    <w:basedOn w:val="879"/>
    <w:pPr>
      <w:ind w:left="57" w:right="57"/>
      <w:spacing w:before="40" w:after="40"/>
    </w:pPr>
    <w:rPr>
      <w:sz w:val="24"/>
      <w:szCs w:val="26"/>
    </w:rPr>
  </w:style>
  <w:style w:type="paragraph" w:styleId="995">
    <w:name w:val="Normal (Web)"/>
    <w:basedOn w:val="879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996" w:customStyle="1">
    <w:name w:val="УРОВЕНЬ_1."/>
    <w:basedOn w:val="946"/>
    <w:link w:val="997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997" w:customStyle="1">
    <w:name w:val="УРОВЕНЬ_1. Знак"/>
    <w:link w:val="996"/>
    <w:rPr>
      <w:rFonts w:eastAsia="Calibri"/>
      <w:caps/>
      <w:sz w:val="28"/>
      <w:szCs w:val="28"/>
      <w:lang w:eastAsia="en-US"/>
    </w:rPr>
  </w:style>
  <w:style w:type="table" w:styleId="998" w:customStyle="1">
    <w:name w:val="Сетка таблицы1"/>
    <w:basedOn w:val="890"/>
    <w:next w:val="903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99">
    <w:name w:val="toc 6"/>
    <w:basedOn w:val="879"/>
    <w:next w:val="879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00">
    <w:name w:val="toc 7"/>
    <w:basedOn w:val="879"/>
    <w:next w:val="879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01">
    <w:name w:val="toc 8"/>
    <w:basedOn w:val="879"/>
    <w:next w:val="879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02" w:customStyle="1">
    <w:name w:val="Неразрешенное упоминание1"/>
    <w:basedOn w:val="889"/>
    <w:uiPriority w:val="99"/>
    <w:semiHidden/>
    <w:unhideWhenUsed/>
    <w:rPr>
      <w:color w:val="605e5c"/>
      <w:shd w:val="clear" w:color="auto" w:fill="e1dfdd"/>
    </w:rPr>
  </w:style>
  <w:style w:type="character" w:styleId="1003" w:customStyle="1">
    <w:name w:val="Основной текст с отступом 3 Знак"/>
    <w:link w:val="908"/>
    <w:rPr>
      <w:sz w:val="16"/>
      <w:szCs w:val="16"/>
    </w:rPr>
  </w:style>
  <w:style w:type="character" w:styleId="1004" w:customStyle="1">
    <w:name w:val="Основной текст (2)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DD1EE-4329-4EF9-BC65-802AE615E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tayurskaya_ia</cp:lastModifiedBy>
  <cp:revision>10</cp:revision>
  <dcterms:created xsi:type="dcterms:W3CDTF">2023-01-11T05:26:00Z</dcterms:created>
  <dcterms:modified xsi:type="dcterms:W3CDTF">2026-07-16T01:17:00Z</dcterms:modified>
</cp:coreProperties>
</file>